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995" w:rsidRDefault="00D37047">
      <w:pPr>
        <w:spacing w:line="360" w:lineRule="auto"/>
        <w:jc w:val="both"/>
        <w:rPr>
          <w:rFonts w:ascii="Rockwell" w:hAnsi="Rockwell" w:cs="Rockwell"/>
          <w:b/>
          <w:sz w:val="24"/>
          <w:szCs w:val="24"/>
        </w:rPr>
      </w:pPr>
      <w:bookmarkStart w:id="0" w:name="_GoBack"/>
      <w:r>
        <w:rPr>
          <w:rFonts w:ascii="Rockwell" w:hAnsi="Rockwell" w:cs="Rockwell"/>
          <w:b/>
          <w:sz w:val="24"/>
          <w:szCs w:val="24"/>
        </w:rPr>
        <w:t xml:space="preserve">NATIONAL </w:t>
      </w:r>
      <w:r w:rsidR="00313495">
        <w:rPr>
          <w:rFonts w:ascii="Rockwell" w:hAnsi="Rockwell" w:cs="Rockwell"/>
          <w:b/>
          <w:sz w:val="24"/>
          <w:szCs w:val="24"/>
        </w:rPr>
        <w:t>GUIDELINE</w:t>
      </w:r>
      <w:r>
        <w:rPr>
          <w:rFonts w:ascii="Rockwell" w:hAnsi="Rockwell" w:cs="Rockwell"/>
          <w:b/>
          <w:sz w:val="24"/>
          <w:szCs w:val="24"/>
        </w:rPr>
        <w:t xml:space="preserve"> ON </w:t>
      </w:r>
      <w:r>
        <w:rPr>
          <w:rFonts w:ascii="Rockwell" w:hAnsi="Rockwell" w:cs="Rockwell"/>
          <w:b/>
          <w:sz w:val="24"/>
          <w:szCs w:val="24"/>
          <w:lang w:val="en-GB"/>
        </w:rPr>
        <w:t xml:space="preserve">MINE SITE </w:t>
      </w:r>
      <w:r>
        <w:rPr>
          <w:rFonts w:ascii="Rockwell" w:hAnsi="Rockwell" w:cs="Rockwell"/>
          <w:b/>
          <w:sz w:val="24"/>
          <w:szCs w:val="24"/>
        </w:rPr>
        <w:t>DECOMMISSIONING AND REHABILITATION</w:t>
      </w:r>
    </w:p>
    <w:bookmarkEnd w:id="0"/>
    <w:p w:rsidR="00CE5995" w:rsidRDefault="00CE5995">
      <w:pPr>
        <w:spacing w:line="360" w:lineRule="auto"/>
        <w:jc w:val="both"/>
        <w:rPr>
          <w:rFonts w:ascii="Rockwell" w:hAnsi="Rockwell" w:cs="Rockwell"/>
          <w:b/>
          <w:sz w:val="24"/>
          <w:szCs w:val="24"/>
        </w:rPr>
      </w:pPr>
    </w:p>
    <w:p w:rsidR="00CE5995" w:rsidRDefault="00DA77E7">
      <w:pPr>
        <w:spacing w:line="360" w:lineRule="auto"/>
        <w:jc w:val="both"/>
        <w:rPr>
          <w:rFonts w:ascii="Rockwell" w:hAnsi="Rockwell" w:cs="Rockwell"/>
          <w:b/>
          <w:sz w:val="24"/>
          <w:szCs w:val="24"/>
        </w:rPr>
      </w:pPr>
      <w:r>
        <w:rPr>
          <w:noProof/>
        </w:rPr>
        <w:drawing>
          <wp:inline distT="0" distB="0" distL="0" distR="0" wp14:anchorId="75334FD8" wp14:editId="4C8B048F">
            <wp:extent cx="6324991" cy="4010025"/>
            <wp:effectExtent l="0" t="0" r="0" b="0"/>
            <wp:docPr id="6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991" cy="4010025"/>
                    </a:xfrm>
                    <a:prstGeom prst="rect">
                      <a:avLst/>
                    </a:prstGeom>
                    <a:noFill/>
                    <a:ln>
                      <a:noFill/>
                    </a:ln>
                    <a:extLst/>
                  </pic:spPr>
                </pic:pic>
              </a:graphicData>
            </a:graphic>
          </wp:inline>
        </w:drawing>
      </w:r>
    </w:p>
    <w:p w:rsidR="00CE5995" w:rsidRDefault="00CE5995">
      <w:pPr>
        <w:spacing w:line="360" w:lineRule="auto"/>
        <w:jc w:val="both"/>
        <w:rPr>
          <w:rFonts w:ascii="Rockwell" w:hAnsi="Rockwell" w:cs="Rockwell"/>
          <w:b/>
          <w:sz w:val="24"/>
          <w:szCs w:val="24"/>
        </w:rPr>
      </w:pPr>
    </w:p>
    <w:p w:rsidR="00CE5995" w:rsidRDefault="00CE5995">
      <w:pPr>
        <w:spacing w:line="360" w:lineRule="auto"/>
        <w:jc w:val="both"/>
        <w:rPr>
          <w:rFonts w:ascii="Rockwell" w:hAnsi="Rockwell" w:cs="Rockwell"/>
          <w:b/>
          <w:sz w:val="24"/>
          <w:szCs w:val="24"/>
        </w:rPr>
      </w:pPr>
    </w:p>
    <w:p w:rsidR="00DA77E7" w:rsidRDefault="00DA77E7">
      <w:pPr>
        <w:spacing w:line="360" w:lineRule="auto"/>
        <w:jc w:val="both"/>
        <w:rPr>
          <w:rFonts w:ascii="Rockwell" w:hAnsi="Rockwell" w:cs="Rockwell"/>
          <w:b/>
          <w:sz w:val="24"/>
          <w:szCs w:val="24"/>
        </w:rPr>
      </w:pPr>
    </w:p>
    <w:p w:rsidR="00DA77E7" w:rsidRDefault="00DA77E7">
      <w:pPr>
        <w:spacing w:line="360" w:lineRule="auto"/>
        <w:jc w:val="both"/>
        <w:rPr>
          <w:rFonts w:ascii="Rockwell" w:hAnsi="Rockwell" w:cs="Rockwell"/>
          <w:b/>
          <w:sz w:val="24"/>
          <w:szCs w:val="24"/>
        </w:rPr>
      </w:pPr>
    </w:p>
    <w:p w:rsidR="00CE5995" w:rsidRDefault="00CE5995">
      <w:pPr>
        <w:spacing w:line="360" w:lineRule="auto"/>
        <w:jc w:val="both"/>
        <w:rPr>
          <w:rFonts w:ascii="Rockwell" w:hAnsi="Rockwell" w:cs="Rockwell"/>
          <w:b/>
          <w:sz w:val="24"/>
          <w:szCs w:val="24"/>
        </w:rPr>
      </w:pPr>
    </w:p>
    <w:p w:rsidR="00CE5995" w:rsidRDefault="00CE5995">
      <w:pPr>
        <w:spacing w:line="360" w:lineRule="auto"/>
        <w:jc w:val="both"/>
        <w:rPr>
          <w:rFonts w:ascii="Rockwell" w:hAnsi="Rockwell" w:cs="Rockwell"/>
          <w:b/>
          <w:sz w:val="24"/>
          <w:szCs w:val="24"/>
        </w:rPr>
      </w:pPr>
    </w:p>
    <w:p w:rsidR="00CE5995" w:rsidRDefault="00CE5995">
      <w:pPr>
        <w:spacing w:line="360" w:lineRule="auto"/>
        <w:jc w:val="both"/>
        <w:rPr>
          <w:rFonts w:ascii="Rockwell" w:hAnsi="Rockwell" w:cs="Rockwell"/>
          <w:b/>
          <w:sz w:val="24"/>
          <w:szCs w:val="24"/>
        </w:rPr>
      </w:pPr>
    </w:p>
    <w:p w:rsidR="00CE5995" w:rsidRDefault="00D37047">
      <w:pPr>
        <w:spacing w:line="360" w:lineRule="auto"/>
        <w:jc w:val="both"/>
        <w:rPr>
          <w:rFonts w:ascii="Rockwell" w:hAnsi="Rockwell" w:cs="Rockwell"/>
          <w:b/>
          <w:sz w:val="24"/>
          <w:szCs w:val="24"/>
        </w:rPr>
      </w:pPr>
      <w:r>
        <w:rPr>
          <w:rFonts w:ascii="Rockwell" w:hAnsi="Rockwell" w:cs="Rockwell"/>
          <w:noProof/>
          <w:sz w:val="24"/>
          <w:szCs w:val="24"/>
        </w:rPr>
        <mc:AlternateContent>
          <mc:Choice Requires="wps">
            <w:drawing>
              <wp:anchor distT="0" distB="0" distL="114300" distR="114300" simplePos="0" relativeHeight="251800576" behindDoc="0" locked="0" layoutInCell="1" allowOverlap="1" wp14:anchorId="1F61E7D8" wp14:editId="0A080617">
                <wp:simplePos x="0" y="0"/>
                <wp:positionH relativeFrom="column">
                  <wp:posOffset>5171440</wp:posOffset>
                </wp:positionH>
                <wp:positionV relativeFrom="paragraph">
                  <wp:posOffset>1492885</wp:posOffset>
                </wp:positionV>
                <wp:extent cx="153035" cy="209550"/>
                <wp:effectExtent l="0" t="0" r="18415" b="0"/>
                <wp:wrapNone/>
                <wp:docPr id="3" name="Text Box 3"/>
                <wp:cNvGraphicFramePr/>
                <a:graphic xmlns:a="http://schemas.openxmlformats.org/drawingml/2006/main">
                  <a:graphicData uri="http://schemas.microsoft.com/office/word/2010/wordprocessingShape">
                    <wps:wsp>
                      <wps:cNvSpPr txBox="1"/>
                      <wps:spPr>
                        <a:xfrm>
                          <a:off x="6316345" y="10079355"/>
                          <a:ext cx="1530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659EB" w:rsidRDefault="008659EB"/>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type w14:anchorId="1F61E7D8" id="_x0000_t202" coordsize="21600,21600" o:spt="202" path="m,l,21600r21600,l21600,xe">
                <v:stroke joinstyle="miter"/>
                <v:path gradientshapeok="t" o:connecttype="rect"/>
              </v:shapetype>
              <v:shape id="Text Box 3" o:spid="_x0000_s1026" type="#_x0000_t202" style="position:absolute;left:0;text-align:left;margin-left:407.2pt;margin-top:117.55pt;width:12.05pt;height:16.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uMfQIAAFAFAAAOAAAAZHJzL2Uyb0RvYy54bWysVMtuEzEU3SPxD5b3dCaZTEujTKrQqgip&#10;ohUtsHY8dmJh+xrbyUz69Vx7krQUNkVs/Dz3de5jdtEbTbbCBwW2oaOTkhJhObTKrhr69eH63XtK&#10;QmS2ZRqsaOhOBHoxf/tm1rmpGMMadCs8QSU2TDvX0HWMbloUga+FYeEEnLD4KcEbFvHqV0XrWYfa&#10;jS7GZXladOBb54GLEPD1avik86xfSsHjrZRBRKIbir7FvPq8LtNazGdsuvLMrRXfu8H+wQvDlEWj&#10;R1VXLDKy8eoPVUZxDwFkPOFgCpBScZFjwGhG5Yto7tfMiRwLkhPckabw/9Tyz9s7T1Tb0IoSywym&#10;6EH0kXyAnlSJnc6FKYLuHcJij8+Y5cN7wMcUdC+9STuGQ/D/tBqdVpOakh1iy/LsvKrrgeikmScN&#10;dVVWCOCIGJfndZ0TUTxpcj7EjwIMSYeGesxjppdtb0JErxB6gCTDAbRqr5XW+ZJqR1xqT7YMs65j&#10;9hclfkNpS7rkKppOQhaS+KBZWzSQ4h7iy6e40yLhtP0iJPKFQQyCuVKfrDHOhT1azOgkJlH5awT3&#10;+CQqchW/RvgokS2DjUdhoyz4HO8Lt9sfB5LkgD8wMMSdKIj9st/XwxLaHZaDh6GdguPXCvN0w0K8&#10;Yx77BzsNZ0K8xUVqQJ5hf6JkDf7xb+8J31DBvuFOSYcd2dDwc8O8oER/sljy56PJJLVwvkzqszFe&#10;/POf5fMfuzGXgOkf4fxxPB8TPurDUXow33F4LJJd/GKWo28NRevD8TIOcwKHDxeLRQZh0zoWb+y9&#10;40l1ItjCYhNBqlyWiaiBnT2B2La5WvcjJs2F5/eMehqE818AAAD//wMAUEsDBBQABgAIAAAAIQBX&#10;vCfT4gAAAAsBAAAPAAAAZHJzL2Rvd25yZXYueG1sTI/BTsMwDIbvSLxDZCRuLM26TlVpOiEkLogh&#10;tnHhljZZG2ic0mRr4ekxJzja/vT7+8vN7Hp2NmOwHiWIRQLMYOO1xVbC6+HhJgcWokKteo9GwpcJ&#10;sKkuL0pVaD/hzpz3sWUUgqFQEroYh4Lz0HTGqbDwg0G6Hf3oVKRxbLke1UThrufLJFlzpyzSh04N&#10;5r4zzcf+5CS8TU/fz3W6PW7fJ7tDYR+zw8unlNdX890tsGjm+AfDrz6pQ0VOtT+hDqyXkIvVilAJ&#10;yzQTwIjI0zwDVtNmnQvgVcn/d6h+AAAA//8DAFBLAQItABQABgAIAAAAIQC2gziS/gAAAOEBAAAT&#10;AAAAAAAAAAAAAAAAAAAAAABbQ29udGVudF9UeXBlc10ueG1sUEsBAi0AFAAGAAgAAAAhADj9If/W&#10;AAAAlAEAAAsAAAAAAAAAAAAAAAAALwEAAF9yZWxzLy5yZWxzUEsBAi0AFAAGAAgAAAAhANuhW4x9&#10;AgAAUAUAAA4AAAAAAAAAAAAAAAAALgIAAGRycy9lMm9Eb2MueG1sUEsBAi0AFAAGAAgAAAAhAFe8&#10;J9PiAAAACwEAAA8AAAAAAAAAAAAAAAAA1wQAAGRycy9kb3ducmV2LnhtbFBLBQYAAAAABAAEAPMA&#10;AADmBQAAAAA=&#10;" fillcolor="white [3201]" stroked="f" strokeweight=".5pt">
                <v:textbox style="layout-flow:vertical-ideographic">
                  <w:txbxContent>
                    <w:p w:rsidR="008659EB" w:rsidRDefault="008659EB"/>
                  </w:txbxContent>
                </v:textbox>
              </v:shape>
            </w:pict>
          </mc:Fallback>
        </mc:AlternateContent>
      </w:r>
      <w:r>
        <w:rPr>
          <w:rFonts w:ascii="Rockwell" w:hAnsi="Rockwell" w:cs="Rockwell"/>
          <w:b/>
          <w:noProof/>
          <w:sz w:val="24"/>
          <w:szCs w:val="24"/>
        </w:rPr>
        <w:drawing>
          <wp:anchor distT="0" distB="0" distL="114300" distR="114300" simplePos="0" relativeHeight="251772928" behindDoc="0" locked="0" layoutInCell="1" allowOverlap="1" wp14:anchorId="70DE51CE" wp14:editId="1BF5478C">
            <wp:simplePos x="0" y="0"/>
            <wp:positionH relativeFrom="column">
              <wp:posOffset>4121150</wp:posOffset>
            </wp:positionH>
            <wp:positionV relativeFrom="paragraph">
              <wp:posOffset>49530</wp:posOffset>
            </wp:positionV>
            <wp:extent cx="911860" cy="1052195"/>
            <wp:effectExtent l="0" t="0" r="2540" b="14605"/>
            <wp:wrapTight wrapText="bothSides">
              <wp:wrapPolygon edited="0">
                <wp:start x="0" y="0"/>
                <wp:lineTo x="0" y="21118"/>
                <wp:lineTo x="21209" y="21118"/>
                <wp:lineTo x="21209"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pic:cNvPicPr>
                  </pic:nvPicPr>
                  <pic:blipFill>
                    <a:blip r:embed="rId10"/>
                    <a:stretch>
                      <a:fillRect/>
                    </a:stretch>
                  </pic:blipFill>
                  <pic:spPr>
                    <a:xfrm>
                      <a:off x="0" y="0"/>
                      <a:ext cx="911860" cy="1052195"/>
                    </a:xfrm>
                    <a:prstGeom prst="rect">
                      <a:avLst/>
                    </a:prstGeom>
                    <a:noFill/>
                    <a:ln>
                      <a:noFill/>
                    </a:ln>
                  </pic:spPr>
                </pic:pic>
              </a:graphicData>
            </a:graphic>
          </wp:anchor>
        </w:drawing>
      </w:r>
      <w:r>
        <w:rPr>
          <w:rFonts w:ascii="Rockwell" w:hAnsi="Rockwell" w:cs="Rockwell"/>
          <w:noProof/>
          <w:sz w:val="24"/>
          <w:szCs w:val="24"/>
        </w:rPr>
        <w:drawing>
          <wp:inline distT="0" distB="0" distL="0" distR="0" wp14:anchorId="2BC67524" wp14:editId="7788B127">
            <wp:extent cx="1021080" cy="1013460"/>
            <wp:effectExtent l="0" t="0" r="762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021080" cy="1013460"/>
                    </a:xfrm>
                    <a:prstGeom prst="rect">
                      <a:avLst/>
                    </a:prstGeom>
                    <a:noFill/>
                  </pic:spPr>
                </pic:pic>
              </a:graphicData>
            </a:graphic>
          </wp:inline>
        </w:drawing>
      </w:r>
      <w:r>
        <w:rPr>
          <w:rFonts w:ascii="Rockwell" w:hAnsi="Rockwell" w:cs="Rockwell"/>
          <w:sz w:val="24"/>
          <w:szCs w:val="24"/>
          <w:lang w:eastAsia="en-GB"/>
        </w:rPr>
        <w:t xml:space="preserve"> </w:t>
      </w:r>
      <w:r>
        <w:rPr>
          <w:rFonts w:ascii="Rockwell" w:hAnsi="Rockwell" w:cs="Rockwell"/>
          <w:noProof/>
          <w:sz w:val="24"/>
          <w:szCs w:val="24"/>
        </w:rPr>
        <w:drawing>
          <wp:inline distT="0" distB="0" distL="0" distR="0" wp14:anchorId="52012585" wp14:editId="11093F01">
            <wp:extent cx="1764030" cy="1067435"/>
            <wp:effectExtent l="0" t="0" r="762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64030" cy="1067435"/>
                    </a:xfrm>
                    <a:prstGeom prst="rect">
                      <a:avLst/>
                    </a:prstGeom>
                    <a:noFill/>
                  </pic:spPr>
                </pic:pic>
              </a:graphicData>
            </a:graphic>
          </wp:inline>
        </w:drawing>
      </w:r>
      <w:r>
        <w:rPr>
          <w:rFonts w:ascii="Rockwell" w:hAnsi="Rockwell" w:cs="Rockwell"/>
          <w:noProof/>
          <w:sz w:val="24"/>
          <w:szCs w:val="24"/>
        </w:rPr>
        <w:drawing>
          <wp:inline distT="0" distB="0" distL="0" distR="0" wp14:anchorId="2AC2BB1E" wp14:editId="0B9138C1">
            <wp:extent cx="1007745" cy="1036955"/>
            <wp:effectExtent l="0" t="0" r="190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07745" cy="1036955"/>
                    </a:xfrm>
                    <a:prstGeom prst="rect">
                      <a:avLst/>
                    </a:prstGeom>
                    <a:noFill/>
                  </pic:spPr>
                </pic:pic>
              </a:graphicData>
            </a:graphic>
          </wp:inline>
        </w:drawing>
      </w:r>
    </w:p>
    <w:p w:rsidR="00522833" w:rsidRDefault="00522833">
      <w:pPr>
        <w:pStyle w:val="Heading1"/>
        <w:spacing w:line="360" w:lineRule="auto"/>
        <w:jc w:val="both"/>
        <w:rPr>
          <w:rFonts w:ascii="Rockwell" w:hAnsi="Rockwell" w:cs="Rockwell"/>
          <w:b/>
          <w:color w:val="auto"/>
          <w:sz w:val="24"/>
          <w:szCs w:val="24"/>
        </w:rPr>
      </w:pPr>
      <w:bookmarkStart w:id="1" w:name="_Toc425690"/>
      <w:bookmarkStart w:id="2" w:name="_Toc6983"/>
      <w:bookmarkStart w:id="3" w:name="_Toc18509"/>
      <w:bookmarkStart w:id="4" w:name="_Toc27479"/>
      <w:r>
        <w:rPr>
          <w:rFonts w:ascii="Rockwell" w:hAnsi="Rockwell" w:cs="Rockwell"/>
          <w:b/>
          <w:color w:val="auto"/>
          <w:sz w:val="24"/>
          <w:szCs w:val="24"/>
        </w:rPr>
        <w:lastRenderedPageBreak/>
        <w:t xml:space="preserve">EXECUTIVE SUMMARY </w:t>
      </w:r>
    </w:p>
    <w:p w:rsidR="00522833" w:rsidRPr="00522833" w:rsidRDefault="00522833" w:rsidP="00522833"/>
    <w:p w:rsidR="00522833" w:rsidRDefault="00522833" w:rsidP="00522833">
      <w:pPr>
        <w:spacing w:line="360" w:lineRule="auto"/>
        <w:jc w:val="both"/>
        <w:rPr>
          <w:rFonts w:ascii="Rockwell" w:hAnsi="Rockwell" w:cs="Rockwell"/>
          <w:sz w:val="24"/>
          <w:szCs w:val="24"/>
        </w:rPr>
      </w:pPr>
      <w:r>
        <w:rPr>
          <w:rFonts w:ascii="Rockwell" w:hAnsi="Rockwell" w:cs="Rockwell"/>
          <w:sz w:val="24"/>
          <w:szCs w:val="24"/>
        </w:rPr>
        <w:t>The mining sector in Kenya has grown over the years however, the practices have been unsustainable. Mine sites are hardly closed and decommissioned in line with the existing but rather inadequate environmental standards and international best practices. This guideline has been developed to enhance environmental performance and sustainability during mine site decommissioning and rehabilitation. The guideline is divided into three chapters as outlined.</w:t>
      </w:r>
    </w:p>
    <w:p w:rsidR="00522833" w:rsidRDefault="00522833" w:rsidP="00522833">
      <w:pPr>
        <w:spacing w:line="360" w:lineRule="auto"/>
        <w:jc w:val="both"/>
        <w:rPr>
          <w:rFonts w:ascii="Rockwell" w:hAnsi="Rockwell" w:cs="Rockwell"/>
          <w:sz w:val="24"/>
          <w:szCs w:val="24"/>
        </w:rPr>
      </w:pPr>
    </w:p>
    <w:p w:rsidR="00522833" w:rsidRDefault="00522833" w:rsidP="00522833">
      <w:pPr>
        <w:spacing w:line="360" w:lineRule="auto"/>
        <w:jc w:val="both"/>
        <w:rPr>
          <w:rFonts w:ascii="Rockwell" w:hAnsi="Rockwell" w:cs="Rockwell"/>
          <w:sz w:val="24"/>
          <w:szCs w:val="24"/>
        </w:rPr>
      </w:pPr>
      <w:r>
        <w:rPr>
          <w:rFonts w:ascii="Rockwell" w:hAnsi="Rockwell" w:cs="Rockwell"/>
          <w:sz w:val="24"/>
          <w:szCs w:val="24"/>
        </w:rPr>
        <w:t xml:space="preserve">Chapter 1 provides a situational analysis of the sector in Kenya; defines the objectives and scope of the guideline. The sector largely defined by artisanal and small scale miners has been challenged by practices that lead to inappropriate management of tailings, disused open pits and collapsed mine sites. </w:t>
      </w:r>
    </w:p>
    <w:p w:rsidR="00522833" w:rsidRDefault="00522833" w:rsidP="00522833">
      <w:pPr>
        <w:spacing w:line="360" w:lineRule="auto"/>
        <w:jc w:val="both"/>
        <w:rPr>
          <w:rFonts w:ascii="Rockwell" w:hAnsi="Rockwell" w:cs="Rockwell"/>
          <w:sz w:val="24"/>
          <w:szCs w:val="24"/>
        </w:rPr>
      </w:pPr>
    </w:p>
    <w:p w:rsidR="00522833" w:rsidRDefault="00522833" w:rsidP="00522833">
      <w:pPr>
        <w:spacing w:line="360" w:lineRule="auto"/>
        <w:jc w:val="both"/>
        <w:rPr>
          <w:rFonts w:ascii="Rockwell" w:hAnsi="Rockwell" w:cs="Rockwell"/>
          <w:sz w:val="24"/>
          <w:szCs w:val="24"/>
        </w:rPr>
      </w:pPr>
      <w:r>
        <w:rPr>
          <w:rFonts w:ascii="Rockwell" w:hAnsi="Rockwell" w:cs="Rockwell"/>
          <w:sz w:val="24"/>
          <w:szCs w:val="24"/>
        </w:rPr>
        <w:t>Chapter 2 provides an in-depth analysis of Policy, Legal and Institutional frameworks that are relevant to the sector. The review of this chapter provides great insights into the existing frameworks that can support sustainable mining practices. The analysis of these frameworks takes cognizance of gaps that have undermined environmentally sound and safe mine sites decommissioning and rehabilitation. The</w:t>
      </w:r>
      <w:r w:rsidR="004D466C">
        <w:rPr>
          <w:rFonts w:ascii="Rockwell" w:hAnsi="Rockwell" w:cs="Rockwell"/>
          <w:sz w:val="24"/>
          <w:szCs w:val="24"/>
        </w:rPr>
        <w:t xml:space="preserve"> guideline provides</w:t>
      </w:r>
      <w:r>
        <w:rPr>
          <w:rFonts w:ascii="Rockwell" w:hAnsi="Rockwell" w:cs="Rockwell"/>
          <w:sz w:val="24"/>
          <w:szCs w:val="24"/>
        </w:rPr>
        <w:t xml:space="preserve"> a focused approach that addresses the existing uncoordinated requirements and considerations for mine site decommissioning and rehabilitation. </w:t>
      </w:r>
    </w:p>
    <w:p w:rsidR="00522833" w:rsidRDefault="00522833" w:rsidP="00522833">
      <w:pPr>
        <w:spacing w:line="360" w:lineRule="auto"/>
        <w:jc w:val="both"/>
        <w:rPr>
          <w:rFonts w:ascii="Rockwell" w:hAnsi="Rockwell" w:cs="Rockwell"/>
          <w:sz w:val="24"/>
          <w:szCs w:val="24"/>
        </w:rPr>
      </w:pPr>
    </w:p>
    <w:p w:rsidR="00522833" w:rsidRDefault="00522833" w:rsidP="00522833">
      <w:pPr>
        <w:spacing w:line="360" w:lineRule="auto"/>
        <w:jc w:val="both"/>
        <w:rPr>
          <w:rFonts w:ascii="Rockwell" w:hAnsi="Rockwell" w:cs="Rockwell"/>
          <w:sz w:val="24"/>
          <w:szCs w:val="24"/>
        </w:rPr>
      </w:pPr>
      <w:r>
        <w:rPr>
          <w:rFonts w:ascii="Rockwell" w:hAnsi="Rockwell" w:cs="Rockwell"/>
          <w:sz w:val="24"/>
          <w:szCs w:val="24"/>
        </w:rPr>
        <w:t xml:space="preserve">Chapter 3: is divided into three key thematic areas namely; mine site decommissioning and rehabilitation plan, a content guide of the plan and key issues in the mine site decommissioning and rehabilitation plan and finally the review of the plan. This chapter provides the detailed requirements for a typical plan that should be developed by the regulated facility. As part of good practice, the Plan should be submitted as part of the ESIA report and will be subject to review after every five years or as may be advised by the Authority from time to time. </w:t>
      </w:r>
    </w:p>
    <w:p w:rsidR="00522833" w:rsidRDefault="00522833" w:rsidP="00522833"/>
    <w:p w:rsidR="00522833" w:rsidRPr="00522833" w:rsidRDefault="00522833" w:rsidP="00522833"/>
    <w:p w:rsidR="00CE5995" w:rsidRPr="004D466C" w:rsidRDefault="00D37047">
      <w:pPr>
        <w:pStyle w:val="Heading1"/>
        <w:spacing w:line="360" w:lineRule="auto"/>
        <w:jc w:val="both"/>
        <w:rPr>
          <w:rFonts w:ascii="Rockwell" w:hAnsi="Rockwell" w:cs="Rockwell"/>
          <w:color w:val="auto"/>
          <w:sz w:val="22"/>
          <w:szCs w:val="22"/>
        </w:rPr>
      </w:pPr>
      <w:r w:rsidRPr="004D466C">
        <w:rPr>
          <w:rFonts w:ascii="Rockwell" w:hAnsi="Rockwell" w:cs="Rockwell"/>
          <w:b/>
          <w:color w:val="auto"/>
          <w:sz w:val="22"/>
          <w:szCs w:val="22"/>
        </w:rPr>
        <w:lastRenderedPageBreak/>
        <w:t>FOREWORD</w:t>
      </w:r>
      <w:bookmarkEnd w:id="1"/>
      <w:bookmarkEnd w:id="2"/>
      <w:bookmarkEnd w:id="3"/>
      <w:bookmarkEnd w:id="4"/>
      <w:r w:rsidRPr="004D466C">
        <w:rPr>
          <w:rFonts w:ascii="Rockwell" w:hAnsi="Rockwell" w:cs="Rockwell"/>
          <w:color w:val="auto"/>
          <w:sz w:val="22"/>
          <w:szCs w:val="22"/>
        </w:rPr>
        <w:t xml:space="preserve"> </w:t>
      </w:r>
    </w:p>
    <w:p w:rsidR="00CE5995" w:rsidRPr="004D466C" w:rsidRDefault="00D37047">
      <w:pPr>
        <w:spacing w:line="360" w:lineRule="auto"/>
        <w:jc w:val="both"/>
        <w:rPr>
          <w:rFonts w:ascii="Rockwell" w:hAnsi="Rockwell" w:cs="Rockwell"/>
        </w:rPr>
      </w:pPr>
      <w:r w:rsidRPr="004D466C">
        <w:rPr>
          <w:rFonts w:ascii="Rockwell" w:hAnsi="Rockwell" w:cs="Rockwell"/>
        </w:rPr>
        <w:t xml:space="preserve">The National Environment Management Authority (NEMA) in consultation with the relevant stakeholders in pursuant to section 9 (n) of EMCA, 1999 has developed the mine site closure, decommissioning and rehabilitation </w:t>
      </w:r>
      <w:r w:rsidR="00313495" w:rsidRPr="004D466C">
        <w:rPr>
          <w:rFonts w:ascii="Rockwell" w:hAnsi="Rockwell" w:cs="Rockwell"/>
        </w:rPr>
        <w:t>Guideline</w:t>
      </w:r>
      <w:r w:rsidRPr="004D466C">
        <w:rPr>
          <w:rFonts w:ascii="Rockwell" w:hAnsi="Rockwell" w:cs="Rockwell"/>
        </w:rPr>
        <w:t>.</w:t>
      </w:r>
    </w:p>
    <w:p w:rsidR="00CE5995" w:rsidRPr="004D466C" w:rsidRDefault="00CE5995">
      <w:pPr>
        <w:spacing w:line="360" w:lineRule="auto"/>
        <w:jc w:val="both"/>
        <w:rPr>
          <w:rFonts w:ascii="Rockwell" w:hAnsi="Rockwell" w:cs="Rockwell"/>
        </w:rPr>
      </w:pPr>
    </w:p>
    <w:p w:rsidR="00CE5995" w:rsidRPr="004D466C" w:rsidRDefault="00D37047">
      <w:pPr>
        <w:spacing w:line="360" w:lineRule="auto"/>
        <w:jc w:val="both"/>
        <w:rPr>
          <w:rFonts w:ascii="Rockwell" w:hAnsi="Rockwell" w:cs="Rockwell"/>
        </w:rPr>
      </w:pPr>
      <w:r w:rsidRPr="004D466C">
        <w:rPr>
          <w:rFonts w:ascii="Rockwell" w:hAnsi="Rockwell" w:cs="Rockwell"/>
        </w:rPr>
        <w:t>Planning for mine site closure, decommissioning and rehabilitation is a critical component of environmental management in the mining sector.  Globally as evidenced by best practical approaches, planning for mine site closure should be done during the planning and design phase of the particular mining activity and sustained throughout the life time of the mine. This approach will ensure that the costly rehabilitation and remediation works at the end of a mine life is not incurred thus less financial burden to the mine operator, the government and the local community and the relevant stakeholders.</w:t>
      </w:r>
    </w:p>
    <w:p w:rsidR="00CE5995" w:rsidRPr="004D466C" w:rsidRDefault="00CE5995">
      <w:pPr>
        <w:spacing w:line="360" w:lineRule="auto"/>
        <w:jc w:val="both"/>
        <w:rPr>
          <w:rFonts w:ascii="Rockwell" w:hAnsi="Rockwell" w:cs="Rockwell"/>
        </w:rPr>
      </w:pPr>
    </w:p>
    <w:p w:rsidR="00CE5995" w:rsidRPr="004D466C" w:rsidRDefault="00D37047">
      <w:pPr>
        <w:spacing w:line="360" w:lineRule="auto"/>
        <w:jc w:val="both"/>
        <w:rPr>
          <w:rFonts w:ascii="Rockwell" w:hAnsi="Rockwell" w:cs="Rockwell"/>
        </w:rPr>
      </w:pPr>
      <w:r w:rsidRPr="004D466C">
        <w:rPr>
          <w:rFonts w:ascii="Rockwell" w:hAnsi="Rockwell" w:cs="Rockwell"/>
        </w:rPr>
        <w:t>Several best practices have been borrowed from Australia and Sweden</w:t>
      </w:r>
      <w:r w:rsidRPr="004D466C">
        <w:rPr>
          <w:rFonts w:ascii="Rockwell" w:hAnsi="Rockwell" w:cs="Rockwell"/>
          <w:lang w:val="en-GB"/>
        </w:rPr>
        <w:t xml:space="preserve"> in the process of developing these </w:t>
      </w:r>
      <w:r w:rsidR="00313495" w:rsidRPr="004D466C">
        <w:rPr>
          <w:rFonts w:ascii="Rockwell" w:hAnsi="Rockwell" w:cs="Rockwell"/>
          <w:lang w:val="en-GB"/>
        </w:rPr>
        <w:t>Guideline</w:t>
      </w:r>
      <w:r w:rsidRPr="004D466C">
        <w:rPr>
          <w:rFonts w:ascii="Rockwell" w:hAnsi="Rockwell" w:cs="Rockwell"/>
          <w:lang w:val="en-GB"/>
        </w:rPr>
        <w:t xml:space="preserve">. </w:t>
      </w:r>
      <w:r w:rsidRPr="004D466C">
        <w:rPr>
          <w:rFonts w:ascii="Rockwell" w:hAnsi="Rockwell" w:cs="Rockwell"/>
        </w:rPr>
        <w:t xml:space="preserve">The objective of these </w:t>
      </w:r>
      <w:r w:rsidR="00313495" w:rsidRPr="004D466C">
        <w:rPr>
          <w:rFonts w:ascii="Rockwell" w:hAnsi="Rockwell" w:cs="Rockwell"/>
        </w:rPr>
        <w:t>Guideline</w:t>
      </w:r>
      <w:r w:rsidRPr="004D466C">
        <w:rPr>
          <w:rFonts w:ascii="Rockwell" w:hAnsi="Rockwell" w:cs="Rockwell"/>
        </w:rPr>
        <w:t xml:space="preserve"> is to ensure that, any mine site in Kenya is decommissioned, rehabilitated and closed in a well-planned process that ensures ecological sustainability and protection of the human health. </w:t>
      </w:r>
    </w:p>
    <w:p w:rsidR="00CE5995" w:rsidRPr="004D466C" w:rsidRDefault="00CE5995">
      <w:pPr>
        <w:spacing w:line="360" w:lineRule="auto"/>
        <w:jc w:val="both"/>
        <w:rPr>
          <w:rFonts w:ascii="Rockwell" w:hAnsi="Rockwell" w:cs="Rockwell"/>
        </w:rPr>
      </w:pPr>
    </w:p>
    <w:p w:rsidR="00CE5995" w:rsidRPr="004D466C" w:rsidRDefault="00D37047">
      <w:pPr>
        <w:spacing w:line="360" w:lineRule="auto"/>
        <w:jc w:val="both"/>
        <w:rPr>
          <w:rFonts w:ascii="Rockwell" w:hAnsi="Rockwell" w:cs="Rockwell"/>
        </w:rPr>
      </w:pPr>
      <w:r w:rsidRPr="004D466C">
        <w:rPr>
          <w:rFonts w:ascii="Rockwell" w:hAnsi="Rockwell" w:cs="Rockwell"/>
        </w:rPr>
        <w:t xml:space="preserve">Therefore, it is envisaged that all the relevant stakeholders in the mining sector (including government agencies, the private sector, the civil society and the general public) will adopt, adhere to and implement these </w:t>
      </w:r>
      <w:r w:rsidR="00313495" w:rsidRPr="004D466C">
        <w:rPr>
          <w:rFonts w:ascii="Rockwell" w:hAnsi="Rockwell" w:cs="Rockwell"/>
        </w:rPr>
        <w:t>Guideline</w:t>
      </w:r>
      <w:r w:rsidRPr="004D466C">
        <w:rPr>
          <w:rFonts w:ascii="Rockwell" w:hAnsi="Rockwell" w:cs="Rockwell"/>
        </w:rPr>
        <w:t>.</w:t>
      </w:r>
    </w:p>
    <w:p w:rsidR="004D466C" w:rsidRPr="004D466C" w:rsidRDefault="004D466C" w:rsidP="00BA55A8">
      <w:pPr>
        <w:spacing w:line="360" w:lineRule="auto"/>
        <w:jc w:val="both"/>
        <w:rPr>
          <w:rFonts w:ascii="Rockwell" w:hAnsi="Rockwell" w:cs="Rockwell"/>
        </w:rPr>
      </w:pPr>
    </w:p>
    <w:p w:rsidR="00BA55A8" w:rsidRDefault="00BA55A8" w:rsidP="00BA55A8">
      <w:pPr>
        <w:spacing w:line="360" w:lineRule="auto"/>
        <w:jc w:val="both"/>
        <w:rPr>
          <w:rFonts w:ascii="Rockwell" w:hAnsi="Rockwell" w:cs="Rockwell"/>
        </w:rPr>
      </w:pPr>
      <w:r w:rsidRPr="004D466C">
        <w:rPr>
          <w:rFonts w:ascii="Rockwell" w:hAnsi="Rockwell" w:cs="Rockwell"/>
        </w:rPr>
        <w:t>The guideline is further expected to enhance vibrant and sustainable management of mining operations that efficiently and effectively contribute to ecological and environmental stability, social economic development, and cultural benefits and strengthen community resilience towards climate change and to contribute to Kenya’s climate change aspirations for the present and future generations.</w:t>
      </w:r>
    </w:p>
    <w:p w:rsidR="004D466C" w:rsidRPr="004D466C" w:rsidRDefault="004D466C" w:rsidP="00BA55A8">
      <w:pPr>
        <w:spacing w:line="360" w:lineRule="auto"/>
        <w:jc w:val="both"/>
        <w:rPr>
          <w:rFonts w:ascii="Rockwell" w:hAnsi="Rockwell" w:cs="Rockwell"/>
        </w:rPr>
      </w:pPr>
    </w:p>
    <w:p w:rsidR="00CE5995" w:rsidRPr="004D466C" w:rsidRDefault="00BA55A8">
      <w:pPr>
        <w:spacing w:line="360" w:lineRule="auto"/>
        <w:jc w:val="both"/>
        <w:rPr>
          <w:rFonts w:ascii="Rockwell" w:hAnsi="Rockwell" w:cs="Rockwell"/>
          <w:b/>
          <w:bCs/>
        </w:rPr>
      </w:pPr>
      <w:r w:rsidRPr="004D466C">
        <w:rPr>
          <w:rFonts w:ascii="Rockwell" w:hAnsi="Rockwell" w:cs="Rockwell"/>
          <w:b/>
          <w:bCs/>
        </w:rPr>
        <w:t>Chairperson</w:t>
      </w:r>
    </w:p>
    <w:p w:rsidR="00CE5995" w:rsidRPr="004D466C" w:rsidRDefault="00D37047">
      <w:pPr>
        <w:spacing w:line="360" w:lineRule="auto"/>
        <w:jc w:val="both"/>
        <w:rPr>
          <w:rFonts w:ascii="Rockwell" w:hAnsi="Rockwell" w:cs="Rockwell"/>
          <w:b/>
          <w:bCs/>
        </w:rPr>
      </w:pPr>
      <w:r w:rsidRPr="004D466C">
        <w:rPr>
          <w:rFonts w:ascii="Rockwell" w:hAnsi="Rockwell" w:cs="Rockwell"/>
          <w:b/>
          <w:bCs/>
        </w:rPr>
        <w:t>NEMA Board of Management</w:t>
      </w:r>
    </w:p>
    <w:p w:rsidR="00CE5995" w:rsidRDefault="00CE5995">
      <w:pPr>
        <w:spacing w:line="360" w:lineRule="auto"/>
        <w:jc w:val="both"/>
        <w:rPr>
          <w:rFonts w:ascii="Rockwell" w:hAnsi="Rockwell" w:cs="Rockwell"/>
          <w:sz w:val="24"/>
          <w:szCs w:val="24"/>
        </w:rPr>
      </w:pPr>
      <w:bookmarkStart w:id="5" w:name="_Toc425691"/>
    </w:p>
    <w:p w:rsidR="004D466C" w:rsidRDefault="004D466C">
      <w:pPr>
        <w:spacing w:line="360" w:lineRule="auto"/>
        <w:jc w:val="both"/>
        <w:rPr>
          <w:rFonts w:ascii="Rockwell" w:hAnsi="Rockwell" w:cs="Rockwell"/>
          <w:sz w:val="24"/>
          <w:szCs w:val="24"/>
        </w:rPr>
      </w:pPr>
    </w:p>
    <w:p w:rsidR="00CE5995" w:rsidRDefault="00D37047">
      <w:pPr>
        <w:pStyle w:val="Heading1"/>
        <w:jc w:val="both"/>
        <w:rPr>
          <w:rFonts w:ascii="Rockwell" w:hAnsi="Rockwell" w:cs="Rockwell"/>
          <w:b/>
          <w:color w:val="auto"/>
          <w:sz w:val="24"/>
          <w:szCs w:val="24"/>
        </w:rPr>
      </w:pPr>
      <w:bookmarkStart w:id="6" w:name="_Toc26027"/>
      <w:bookmarkStart w:id="7" w:name="_Toc23119"/>
      <w:bookmarkStart w:id="8" w:name="_Toc10965"/>
      <w:r>
        <w:rPr>
          <w:rFonts w:ascii="Rockwell" w:hAnsi="Rockwell" w:cs="Rockwell"/>
          <w:b/>
          <w:color w:val="auto"/>
          <w:sz w:val="24"/>
          <w:szCs w:val="24"/>
        </w:rPr>
        <w:t>ACKNOWLEDGMENTS</w:t>
      </w:r>
      <w:bookmarkEnd w:id="5"/>
      <w:bookmarkEnd w:id="6"/>
      <w:bookmarkEnd w:id="7"/>
      <w:bookmarkEnd w:id="8"/>
    </w:p>
    <w:p w:rsidR="00CE5995" w:rsidRDefault="00CE5995"/>
    <w:p w:rsidR="00CE5995" w:rsidRDefault="00D37047">
      <w:pPr>
        <w:jc w:val="both"/>
        <w:rPr>
          <w:rFonts w:ascii="Rockwell" w:hAnsi="Rockwell" w:cs="Rockwell"/>
          <w:sz w:val="24"/>
          <w:szCs w:val="24"/>
        </w:rPr>
      </w:pPr>
      <w:r>
        <w:rPr>
          <w:rFonts w:ascii="Rockwell" w:hAnsi="Rockwell" w:cs="Rockwell"/>
          <w:sz w:val="24"/>
          <w:szCs w:val="24"/>
        </w:rPr>
        <w:t xml:space="preserve">The process of preparing these </w:t>
      </w:r>
      <w:r w:rsidR="00313495">
        <w:rPr>
          <w:rFonts w:ascii="Rockwell" w:hAnsi="Rockwell" w:cs="Rockwell"/>
          <w:sz w:val="24"/>
          <w:szCs w:val="24"/>
        </w:rPr>
        <w:t>Guideline</w:t>
      </w:r>
      <w:r>
        <w:rPr>
          <w:rFonts w:ascii="Rockwell" w:hAnsi="Rockwell" w:cs="Rockwell"/>
          <w:sz w:val="24"/>
          <w:szCs w:val="24"/>
        </w:rPr>
        <w:t xml:space="preserve"> benefited immensely from the financial support from Swedish International Development Agency (SIDA) through the Swedish Environmental and Protection Agency (SEPA) and United Nations Development Programmee</w:t>
      </w:r>
      <w:r w:rsidR="006F0EBD">
        <w:rPr>
          <w:rFonts w:ascii="Rockwell" w:hAnsi="Rockwell" w:cs="Rockwell"/>
          <w:sz w:val="24"/>
          <w:szCs w:val="24"/>
        </w:rPr>
        <w:t xml:space="preserve"> </w:t>
      </w:r>
      <w:r w:rsidR="002A56BC">
        <w:rPr>
          <w:rFonts w:ascii="Rockwell" w:hAnsi="Rockwell" w:cs="Rockwell"/>
          <w:sz w:val="24"/>
          <w:szCs w:val="24"/>
        </w:rPr>
        <w:t>(UNDP)</w:t>
      </w:r>
      <w:r>
        <w:rPr>
          <w:rFonts w:ascii="Rockwell" w:hAnsi="Rockwell" w:cs="Rockwell"/>
          <w:sz w:val="24"/>
          <w:szCs w:val="24"/>
        </w:rPr>
        <w:t xml:space="preserve"> Kenya</w:t>
      </w:r>
      <w:r w:rsidR="002A56BC">
        <w:rPr>
          <w:rFonts w:ascii="Rockwell" w:hAnsi="Rockwell" w:cs="Rockwell"/>
          <w:sz w:val="24"/>
          <w:szCs w:val="24"/>
        </w:rPr>
        <w:t>.</w:t>
      </w:r>
      <w:r>
        <w:rPr>
          <w:rFonts w:ascii="Rockwell" w:hAnsi="Rockwell" w:cs="Rockwell"/>
          <w:sz w:val="24"/>
          <w:szCs w:val="24"/>
        </w:rPr>
        <w:t xml:space="preserve"> </w:t>
      </w:r>
    </w:p>
    <w:p w:rsidR="00CE5995" w:rsidRDefault="00CE5995">
      <w:pPr>
        <w:jc w:val="both"/>
        <w:rPr>
          <w:rFonts w:ascii="Rockwell" w:hAnsi="Rockwell" w:cs="Rockwell"/>
          <w:sz w:val="24"/>
          <w:szCs w:val="24"/>
        </w:rPr>
      </w:pPr>
    </w:p>
    <w:p w:rsidR="00CE5995" w:rsidRDefault="00D37047">
      <w:pPr>
        <w:jc w:val="both"/>
        <w:rPr>
          <w:rFonts w:ascii="Rockwell" w:hAnsi="Rockwell" w:cs="Rockwell"/>
          <w:sz w:val="24"/>
          <w:szCs w:val="24"/>
        </w:rPr>
      </w:pPr>
      <w:r>
        <w:rPr>
          <w:rFonts w:ascii="Rockwell" w:hAnsi="Rockwell" w:cs="Rockwell"/>
          <w:sz w:val="24"/>
          <w:szCs w:val="24"/>
        </w:rPr>
        <w:t xml:space="preserve">Many thanks to the Project Technical Committee  comprising of the following officers; Thomas Kipngeny from </w:t>
      </w:r>
      <w:r w:rsidR="002A56BC">
        <w:rPr>
          <w:rFonts w:ascii="Rockwell" w:hAnsi="Rockwell" w:cs="Rockwell"/>
          <w:sz w:val="24"/>
          <w:szCs w:val="24"/>
        </w:rPr>
        <w:t xml:space="preserve">the Ministry of </w:t>
      </w:r>
      <w:r w:rsidR="002A56BC">
        <w:rPr>
          <w:rFonts w:ascii="Rockwell" w:hAnsi="Rockwell" w:cs="Rockwell"/>
          <w:sz w:val="24"/>
          <w:szCs w:val="24"/>
          <w:lang w:val="en-GB"/>
        </w:rPr>
        <w:t xml:space="preserve">Petroleum and </w:t>
      </w:r>
      <w:r>
        <w:rPr>
          <w:rFonts w:ascii="Rockwell" w:hAnsi="Rockwell" w:cs="Rockwell"/>
          <w:sz w:val="24"/>
          <w:szCs w:val="24"/>
        </w:rPr>
        <w:t>Mining</w:t>
      </w:r>
      <w:r w:rsidR="002A56BC">
        <w:rPr>
          <w:rFonts w:ascii="Rockwell" w:hAnsi="Rockwell" w:cs="Rockwell"/>
          <w:sz w:val="24"/>
          <w:szCs w:val="24"/>
        </w:rPr>
        <w:t xml:space="preserve"> (MoPM)</w:t>
      </w:r>
      <w:r>
        <w:rPr>
          <w:rFonts w:ascii="Rockwell" w:hAnsi="Rockwell" w:cs="Rockwell"/>
          <w:sz w:val="24"/>
          <w:szCs w:val="24"/>
        </w:rPr>
        <w:t xml:space="preserve">; </w:t>
      </w:r>
      <w:r w:rsidR="006F0EBD">
        <w:rPr>
          <w:rFonts w:ascii="Rockwell" w:hAnsi="Rockwell" w:cs="Rockwell"/>
          <w:sz w:val="24"/>
          <w:szCs w:val="24"/>
        </w:rPr>
        <w:t xml:space="preserve">UNDP-Kenya; Brian Muthoka from Council of Governors (CoG); </w:t>
      </w:r>
      <w:r>
        <w:rPr>
          <w:rFonts w:ascii="Rockwell" w:hAnsi="Rockwell" w:cs="Rockwell"/>
          <w:sz w:val="24"/>
          <w:szCs w:val="24"/>
        </w:rPr>
        <w:t>Mary Mwangi from Directorate of Occupational Safety and Health Services (DOSHS); Stella Wangechi from Kenya National Commission on Human Rights (KNCHR); Moses Njeru from Kenya Chamber of Mines (KCM)</w:t>
      </w:r>
      <w:r w:rsidR="001A6076">
        <w:rPr>
          <w:rFonts w:ascii="Rockwell" w:hAnsi="Rockwell" w:cs="Rockwell"/>
          <w:sz w:val="24"/>
          <w:szCs w:val="24"/>
        </w:rPr>
        <w:t xml:space="preserve">;; </w:t>
      </w:r>
      <w:r>
        <w:rPr>
          <w:rFonts w:ascii="Rockwell" w:hAnsi="Rockwell" w:cs="Rockwell"/>
          <w:sz w:val="24"/>
          <w:szCs w:val="24"/>
        </w:rPr>
        <w:t xml:space="preserve">Zephaniah Ouma, Oceanic Sakwa, Selelah Okoth, Maureen Njeri, Edward Wabwoto, </w:t>
      </w:r>
      <w:r w:rsidR="00983629">
        <w:rPr>
          <w:rFonts w:ascii="Rockwell" w:hAnsi="Rockwell" w:cs="Rockwell"/>
          <w:sz w:val="24"/>
          <w:szCs w:val="24"/>
        </w:rPr>
        <w:t xml:space="preserve">Cynthia Sakami, </w:t>
      </w:r>
      <w:r>
        <w:rPr>
          <w:rFonts w:ascii="Rockwell" w:hAnsi="Rockwell" w:cs="Rockwell"/>
          <w:sz w:val="24"/>
          <w:szCs w:val="24"/>
        </w:rPr>
        <w:t xml:space="preserve">Reagan Awino, </w:t>
      </w:r>
      <w:r w:rsidR="00CD625E">
        <w:rPr>
          <w:rFonts w:ascii="Rockwell" w:hAnsi="Rockwell" w:cs="Rockwell"/>
          <w:sz w:val="24"/>
          <w:szCs w:val="24"/>
        </w:rPr>
        <w:t xml:space="preserve">Marcellah Ojiambo, </w:t>
      </w:r>
      <w:r>
        <w:rPr>
          <w:rFonts w:ascii="Rockwell" w:hAnsi="Rockwell" w:cs="Rockwell"/>
          <w:sz w:val="24"/>
          <w:szCs w:val="24"/>
        </w:rPr>
        <w:t>Lydia Ago and Felister Njoki all from the National Environment Management Authority (NEMA)</w:t>
      </w:r>
      <w:r w:rsidR="009310A3">
        <w:rPr>
          <w:rFonts w:ascii="Rockwell" w:hAnsi="Rockwell" w:cs="Rockwell"/>
          <w:sz w:val="24"/>
          <w:szCs w:val="24"/>
        </w:rPr>
        <w:t>.</w:t>
      </w:r>
    </w:p>
    <w:p w:rsidR="002A56BC" w:rsidRDefault="002A56BC">
      <w:pPr>
        <w:jc w:val="both"/>
        <w:rPr>
          <w:rFonts w:ascii="Rockwell" w:hAnsi="Rockwell" w:cs="Rockwell"/>
          <w:sz w:val="24"/>
          <w:szCs w:val="24"/>
        </w:rPr>
      </w:pPr>
    </w:p>
    <w:p w:rsidR="00CE5995" w:rsidRDefault="00CE5995">
      <w:pPr>
        <w:jc w:val="both"/>
        <w:rPr>
          <w:rFonts w:ascii="Rockwell" w:hAnsi="Rockwell" w:cs="Rockwell"/>
          <w:sz w:val="24"/>
          <w:szCs w:val="24"/>
        </w:rPr>
      </w:pPr>
    </w:p>
    <w:p w:rsidR="00CE5995" w:rsidRDefault="00D37047">
      <w:pPr>
        <w:jc w:val="both"/>
        <w:rPr>
          <w:rFonts w:ascii="Rockwell" w:hAnsi="Rockwell" w:cs="Rockwell"/>
          <w:sz w:val="24"/>
          <w:szCs w:val="24"/>
        </w:rPr>
      </w:pPr>
      <w:r>
        <w:rPr>
          <w:rFonts w:ascii="Rockwell" w:hAnsi="Rockwell" w:cs="Rockwell"/>
          <w:sz w:val="24"/>
          <w:szCs w:val="24"/>
        </w:rPr>
        <w:t>NEMA Board of Management provided substantive guidance, advice and managerial assistance and support throughout the process.</w:t>
      </w:r>
      <w:r>
        <w:rPr>
          <w:rFonts w:ascii="Rockwell" w:hAnsi="Rockwell" w:cs="Rockwell"/>
          <w:sz w:val="24"/>
          <w:szCs w:val="24"/>
          <w:lang w:val="en-GB"/>
        </w:rPr>
        <w:t xml:space="preserve"> </w:t>
      </w:r>
      <w:r>
        <w:rPr>
          <w:rFonts w:ascii="Rockwell" w:hAnsi="Rockwell" w:cs="Rockwell"/>
          <w:sz w:val="24"/>
          <w:szCs w:val="24"/>
        </w:rPr>
        <w:t>It is my hope that the National</w:t>
      </w:r>
      <w:r w:rsidR="001A6076">
        <w:rPr>
          <w:rFonts w:ascii="Rockwell" w:hAnsi="Rockwell" w:cs="Rockwell"/>
          <w:sz w:val="24"/>
          <w:szCs w:val="24"/>
          <w:lang w:val="en-GB"/>
        </w:rPr>
        <w:t xml:space="preserve"> </w:t>
      </w:r>
      <w:r w:rsidR="00313495">
        <w:rPr>
          <w:rFonts w:ascii="Rockwell" w:hAnsi="Rockwell" w:cs="Rockwell"/>
          <w:sz w:val="24"/>
          <w:szCs w:val="24"/>
          <w:lang w:val="en-GB"/>
        </w:rPr>
        <w:t>Guideline</w:t>
      </w:r>
      <w:r>
        <w:rPr>
          <w:rFonts w:ascii="Rockwell" w:hAnsi="Rockwell" w:cs="Rockwell"/>
          <w:sz w:val="24"/>
          <w:szCs w:val="24"/>
        </w:rPr>
        <w:t xml:space="preserve"> on Mine Site </w:t>
      </w:r>
      <w:r>
        <w:rPr>
          <w:rFonts w:ascii="Rockwell" w:hAnsi="Rockwell" w:cs="Rockwell"/>
          <w:sz w:val="24"/>
          <w:szCs w:val="24"/>
          <w:lang w:val="en-GB"/>
        </w:rPr>
        <w:t>decommissioning and rehabilitation</w:t>
      </w:r>
      <w:r>
        <w:rPr>
          <w:rFonts w:ascii="Rockwell" w:hAnsi="Rockwell" w:cs="Rockwell"/>
          <w:sz w:val="24"/>
          <w:szCs w:val="24"/>
        </w:rPr>
        <w:t xml:space="preserve"> will provide viable and practical bottom up strategy</w:t>
      </w:r>
      <w:r>
        <w:rPr>
          <w:rFonts w:ascii="Rockwell" w:hAnsi="Rockwell" w:cs="Rockwell"/>
          <w:sz w:val="24"/>
          <w:szCs w:val="24"/>
          <w:lang w:val="en-GB"/>
        </w:rPr>
        <w:t xml:space="preserve">. This </w:t>
      </w:r>
      <w:r>
        <w:rPr>
          <w:rFonts w:ascii="Rockwell" w:hAnsi="Rockwell" w:cs="Rockwell"/>
          <w:sz w:val="24"/>
          <w:szCs w:val="24"/>
        </w:rPr>
        <w:t xml:space="preserve">will ensure that the process of mine closure is not cumbersome and painful for the </w:t>
      </w:r>
      <w:r>
        <w:rPr>
          <w:rFonts w:ascii="Rockwell" w:hAnsi="Rockwell" w:cs="Rockwell"/>
          <w:sz w:val="24"/>
          <w:szCs w:val="24"/>
          <w:lang w:val="en-GB"/>
        </w:rPr>
        <w:t>mine operators.</w:t>
      </w:r>
      <w:r>
        <w:rPr>
          <w:rFonts w:ascii="Rockwell" w:hAnsi="Rockwell" w:cs="Rockwell"/>
          <w:sz w:val="24"/>
          <w:szCs w:val="24"/>
        </w:rPr>
        <w:t xml:space="preserve"> I urge the policy makers, lead agencies, experts and the mining sector players to make good use of these </w:t>
      </w:r>
      <w:r w:rsidR="00313495">
        <w:rPr>
          <w:rFonts w:ascii="Rockwell" w:hAnsi="Rockwell" w:cs="Rockwell"/>
          <w:sz w:val="24"/>
          <w:szCs w:val="24"/>
          <w:lang w:val="en-GB"/>
        </w:rPr>
        <w:t>Guideline</w:t>
      </w:r>
      <w:r>
        <w:rPr>
          <w:rFonts w:ascii="Rockwell" w:hAnsi="Rockwell" w:cs="Rockwell"/>
          <w:sz w:val="24"/>
          <w:szCs w:val="24"/>
        </w:rPr>
        <w:t xml:space="preserve"> on mine Site </w:t>
      </w:r>
      <w:r>
        <w:rPr>
          <w:rFonts w:ascii="Rockwell" w:hAnsi="Rockwell" w:cs="Rockwell"/>
          <w:sz w:val="24"/>
          <w:szCs w:val="24"/>
          <w:lang w:val="en-GB"/>
        </w:rPr>
        <w:t>decommissioning and rehabilitation</w:t>
      </w:r>
      <w:r>
        <w:rPr>
          <w:rFonts w:ascii="Rockwell" w:hAnsi="Rockwell" w:cs="Rockwell"/>
          <w:sz w:val="24"/>
          <w:szCs w:val="24"/>
        </w:rPr>
        <w:t>.</w:t>
      </w:r>
    </w:p>
    <w:p w:rsidR="00CE5995" w:rsidRDefault="00CE5995">
      <w:pPr>
        <w:jc w:val="both"/>
        <w:rPr>
          <w:rFonts w:ascii="Rockwell" w:hAnsi="Rockwell" w:cs="Rockwell"/>
          <w:b/>
          <w:sz w:val="24"/>
          <w:szCs w:val="24"/>
        </w:rPr>
      </w:pPr>
    </w:p>
    <w:p w:rsidR="00CE5995" w:rsidRDefault="00D37047">
      <w:pPr>
        <w:jc w:val="both"/>
        <w:rPr>
          <w:rFonts w:ascii="Rockwell" w:hAnsi="Rockwell" w:cs="Rockwell"/>
          <w:b/>
          <w:sz w:val="24"/>
          <w:szCs w:val="24"/>
        </w:rPr>
      </w:pPr>
      <w:r>
        <w:rPr>
          <w:rFonts w:ascii="Rockwell" w:hAnsi="Rockwell" w:cs="Rockwell"/>
          <w:sz w:val="24"/>
          <w:szCs w:val="24"/>
        </w:rPr>
        <w:t xml:space="preserve">The </w:t>
      </w:r>
      <w:r>
        <w:rPr>
          <w:rFonts w:ascii="Rockwell" w:hAnsi="Rockwell" w:cs="Rockwell"/>
          <w:sz w:val="24"/>
          <w:szCs w:val="24"/>
          <w:lang w:val="en-GB"/>
        </w:rPr>
        <w:t xml:space="preserve">mine site decommissioning and rehabilitation </w:t>
      </w:r>
      <w:r w:rsidR="00313495">
        <w:rPr>
          <w:rFonts w:ascii="Rockwell" w:hAnsi="Rockwell" w:cs="Rockwell"/>
          <w:sz w:val="24"/>
          <w:szCs w:val="24"/>
          <w:lang w:val="en-GB"/>
        </w:rPr>
        <w:t>Guideline</w:t>
      </w:r>
      <w:r>
        <w:rPr>
          <w:rFonts w:ascii="Rockwell" w:hAnsi="Rockwell" w:cs="Rockwell"/>
          <w:sz w:val="24"/>
          <w:szCs w:val="24"/>
        </w:rPr>
        <w:t xml:space="preserve"> is a living document that will undergo review, development and continuous improvement, from time to time with focus on the emerging issues during mines site closure. The </w:t>
      </w:r>
      <w:r w:rsidR="00313495">
        <w:rPr>
          <w:rFonts w:ascii="Rockwell" w:hAnsi="Rockwell" w:cs="Rockwell"/>
          <w:sz w:val="24"/>
          <w:szCs w:val="24"/>
          <w:lang w:val="en-GB"/>
        </w:rPr>
        <w:t>Guideline</w:t>
      </w:r>
      <w:r>
        <w:rPr>
          <w:rFonts w:ascii="Rockwell" w:hAnsi="Rockwell" w:cs="Rockwell"/>
          <w:sz w:val="24"/>
          <w:szCs w:val="24"/>
          <w:lang w:val="en-GB"/>
        </w:rPr>
        <w:t xml:space="preserve"> is not meant to replace the various existing regulatory framework in the mining sector </w:t>
      </w:r>
      <w:r>
        <w:rPr>
          <w:rFonts w:ascii="Rockwell" w:hAnsi="Rockwell" w:cs="Rockwell"/>
          <w:sz w:val="24"/>
          <w:szCs w:val="24"/>
        </w:rPr>
        <w:t xml:space="preserve">and protection of the environment </w:t>
      </w:r>
      <w:r>
        <w:rPr>
          <w:rFonts w:ascii="Rockwell" w:hAnsi="Rockwell" w:cs="Rockwell"/>
          <w:sz w:val="24"/>
          <w:szCs w:val="24"/>
          <w:lang w:val="en-GB"/>
        </w:rPr>
        <w:t>but to enhance them for the better management of the environment.</w:t>
      </w:r>
    </w:p>
    <w:p w:rsidR="00CE5995" w:rsidRDefault="00CE5995">
      <w:pPr>
        <w:jc w:val="both"/>
        <w:rPr>
          <w:rFonts w:ascii="Rockwell" w:eastAsia="Times-Roman" w:hAnsi="Rockwell" w:cs="Rockwell"/>
          <w:b/>
          <w:bCs/>
          <w:sz w:val="24"/>
          <w:szCs w:val="24"/>
        </w:rPr>
      </w:pPr>
      <w:bookmarkStart w:id="9" w:name="_Toc19636"/>
    </w:p>
    <w:p w:rsidR="00CE5995" w:rsidRDefault="00CE5995">
      <w:pPr>
        <w:jc w:val="both"/>
        <w:rPr>
          <w:rFonts w:ascii="Rockwell" w:eastAsia="Times-Roman" w:hAnsi="Rockwell" w:cs="Rockwell"/>
          <w:b/>
          <w:bCs/>
          <w:sz w:val="24"/>
          <w:szCs w:val="24"/>
        </w:rPr>
      </w:pP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Mamo B. Mamo</w:t>
      </w:r>
      <w:bookmarkEnd w:id="9"/>
      <w:r w:rsidR="007E483B">
        <w:rPr>
          <w:rFonts w:ascii="Rockwell" w:eastAsia="Times-Roman" w:hAnsi="Rockwell" w:cs="Rockwell"/>
          <w:b/>
          <w:bCs/>
          <w:sz w:val="24"/>
          <w:szCs w:val="24"/>
        </w:rPr>
        <w:t>,EBS</w:t>
      </w:r>
    </w:p>
    <w:p w:rsidR="00CE5995" w:rsidRDefault="00D37047">
      <w:pPr>
        <w:jc w:val="both"/>
        <w:rPr>
          <w:rFonts w:ascii="Rockwell" w:eastAsia="Times-Roman" w:hAnsi="Rockwell" w:cs="Rockwell"/>
          <w:b/>
          <w:bCs/>
          <w:sz w:val="24"/>
          <w:szCs w:val="24"/>
          <w:lang w:val="en-GB"/>
        </w:rPr>
      </w:pPr>
      <w:bookmarkStart w:id="10" w:name="_Toc32427"/>
      <w:r>
        <w:rPr>
          <w:rFonts w:ascii="Rockwell" w:eastAsia="Times-Roman" w:hAnsi="Rockwell" w:cs="Rockwell"/>
          <w:b/>
          <w:bCs/>
          <w:sz w:val="24"/>
          <w:szCs w:val="24"/>
        </w:rPr>
        <w:t>Director General</w:t>
      </w:r>
      <w:bookmarkEnd w:id="10"/>
      <w:r>
        <w:rPr>
          <w:rFonts w:ascii="Rockwell" w:eastAsia="Times-Roman" w:hAnsi="Rockwell" w:cs="Rockwell"/>
          <w:b/>
          <w:bCs/>
          <w:sz w:val="24"/>
          <w:szCs w:val="24"/>
          <w:lang w:val="en-GB"/>
        </w:rPr>
        <w:t>,</w:t>
      </w:r>
      <w:bookmarkStart w:id="11" w:name="_Toc15229"/>
      <w:r>
        <w:rPr>
          <w:rFonts w:ascii="Rockwell" w:eastAsia="Times-Roman" w:hAnsi="Rockwell" w:cs="Rockwell"/>
          <w:b/>
          <w:bCs/>
          <w:sz w:val="24"/>
          <w:szCs w:val="24"/>
          <w:lang w:val="en-GB"/>
        </w:rPr>
        <w:t xml:space="preserve"> </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National Environment Management Authority</w:t>
      </w:r>
      <w:bookmarkEnd w:id="11"/>
    </w:p>
    <w:p w:rsidR="00CE5995" w:rsidRDefault="00CE5995">
      <w:pPr>
        <w:pStyle w:val="TOCHeading1"/>
        <w:spacing w:line="360" w:lineRule="auto"/>
        <w:jc w:val="both"/>
        <w:outlineLvl w:val="0"/>
        <w:rPr>
          <w:rFonts w:ascii="Rockwell" w:hAnsi="Rockwell" w:cs="Rockwell"/>
          <w:b/>
          <w:color w:val="auto"/>
          <w:sz w:val="24"/>
          <w:szCs w:val="24"/>
        </w:rPr>
      </w:pPr>
      <w:bookmarkStart w:id="12" w:name="_Toc425692"/>
    </w:p>
    <w:p w:rsidR="00CE5995" w:rsidRDefault="00CE5995"/>
    <w:p w:rsidR="00E0152C" w:rsidRDefault="00E0152C" w:rsidP="00E0152C">
      <w:bookmarkStart w:id="13" w:name="_Toc30933"/>
      <w:bookmarkStart w:id="14" w:name="_Toc29339"/>
      <w:bookmarkStart w:id="15" w:name="_Toc12280"/>
    </w:p>
    <w:p w:rsidR="00E0152C" w:rsidRDefault="00E0152C" w:rsidP="00E0152C"/>
    <w:p w:rsidR="004D466C" w:rsidRPr="00E0152C" w:rsidRDefault="004D466C" w:rsidP="00E0152C"/>
    <w:p w:rsidR="00CE5995" w:rsidRDefault="00D37047">
      <w:pPr>
        <w:pStyle w:val="TOCHeading1"/>
        <w:spacing w:line="360" w:lineRule="auto"/>
        <w:jc w:val="both"/>
        <w:outlineLvl w:val="0"/>
        <w:rPr>
          <w:rFonts w:ascii="Rockwell" w:hAnsi="Rockwell" w:cs="Rockwell"/>
          <w:b/>
          <w:color w:val="auto"/>
          <w:sz w:val="24"/>
          <w:szCs w:val="24"/>
        </w:rPr>
      </w:pPr>
      <w:r>
        <w:rPr>
          <w:rFonts w:ascii="Rockwell" w:hAnsi="Rockwell" w:cs="Rockwell"/>
          <w:b/>
          <w:color w:val="auto"/>
          <w:sz w:val="24"/>
          <w:szCs w:val="24"/>
        </w:rPr>
        <w:t>TABLE OF CONTENTS</w:t>
      </w:r>
      <w:bookmarkEnd w:id="12"/>
      <w:bookmarkEnd w:id="13"/>
      <w:bookmarkEnd w:id="14"/>
      <w:bookmarkEnd w:id="15"/>
    </w:p>
    <w:p w:rsidR="00CE5995" w:rsidRDefault="00CE5995">
      <w:pPr>
        <w:spacing w:line="360" w:lineRule="auto"/>
        <w:jc w:val="both"/>
        <w:rPr>
          <w:rFonts w:ascii="Rockwell" w:hAnsi="Rockwell" w:cs="Rockwell"/>
          <w:sz w:val="24"/>
          <w:szCs w:val="24"/>
        </w:rPr>
      </w:pPr>
    </w:p>
    <w:p w:rsidR="00CE5995" w:rsidRDefault="00D37047">
      <w:pPr>
        <w:pStyle w:val="TOC1"/>
        <w:tabs>
          <w:tab w:val="right" w:leader="dot" w:pos="9360"/>
        </w:tabs>
      </w:pPr>
      <w:r>
        <w:rPr>
          <w:rFonts w:ascii="Rockwell" w:hAnsi="Rockwell" w:cs="Rockwell"/>
          <w:b/>
          <w:bCs/>
          <w:sz w:val="24"/>
          <w:szCs w:val="24"/>
        </w:rPr>
        <w:fldChar w:fldCharType="begin"/>
      </w:r>
      <w:r>
        <w:rPr>
          <w:rFonts w:ascii="Rockwell" w:hAnsi="Rockwell" w:cs="Rockwell"/>
          <w:b/>
          <w:bCs/>
          <w:sz w:val="24"/>
          <w:szCs w:val="24"/>
        </w:rPr>
        <w:instrText xml:space="preserve"> TOC \o "1-3" \h \z \u </w:instrText>
      </w:r>
      <w:r>
        <w:rPr>
          <w:rFonts w:ascii="Rockwell" w:hAnsi="Rockwell" w:cs="Rockwell"/>
          <w:b/>
          <w:bCs/>
          <w:sz w:val="24"/>
          <w:szCs w:val="24"/>
        </w:rPr>
        <w:fldChar w:fldCharType="separate"/>
      </w:r>
      <w:hyperlink w:anchor="_Toc27479" w:history="1">
        <w:r>
          <w:rPr>
            <w:rFonts w:ascii="Rockwell" w:hAnsi="Rockwell" w:cs="Rockwell"/>
            <w:szCs w:val="24"/>
          </w:rPr>
          <w:t>FOREWORD</w:t>
        </w:r>
        <w:r>
          <w:tab/>
        </w:r>
        <w:r>
          <w:fldChar w:fldCharType="begin"/>
        </w:r>
        <w:r>
          <w:instrText xml:space="preserve"> PAGEREF _Toc27479 </w:instrText>
        </w:r>
        <w:r>
          <w:fldChar w:fldCharType="separate"/>
        </w:r>
        <w:r>
          <w:t>2</w:t>
        </w:r>
        <w:r>
          <w:fldChar w:fldCharType="end"/>
        </w:r>
      </w:hyperlink>
    </w:p>
    <w:p w:rsidR="00CE5995" w:rsidRDefault="007C5D7E">
      <w:pPr>
        <w:pStyle w:val="TOC1"/>
        <w:tabs>
          <w:tab w:val="right" w:leader="dot" w:pos="9360"/>
        </w:tabs>
      </w:pPr>
      <w:hyperlink w:anchor="_Toc10965" w:history="1">
        <w:r w:rsidR="00D37047">
          <w:rPr>
            <w:rFonts w:ascii="Rockwell" w:hAnsi="Rockwell" w:cs="Rockwell"/>
            <w:szCs w:val="24"/>
          </w:rPr>
          <w:t>ACKNOWLEDGMENTS</w:t>
        </w:r>
        <w:r w:rsidR="00D37047">
          <w:tab/>
        </w:r>
        <w:r w:rsidR="00D37047">
          <w:fldChar w:fldCharType="begin"/>
        </w:r>
        <w:r w:rsidR="00D37047">
          <w:instrText xml:space="preserve"> PAGEREF _Toc10965 </w:instrText>
        </w:r>
        <w:r w:rsidR="00D37047">
          <w:fldChar w:fldCharType="separate"/>
        </w:r>
        <w:r w:rsidR="00D37047">
          <w:t>3</w:t>
        </w:r>
        <w:r w:rsidR="00D37047">
          <w:fldChar w:fldCharType="end"/>
        </w:r>
      </w:hyperlink>
    </w:p>
    <w:p w:rsidR="00CE5995" w:rsidRDefault="007C5D7E">
      <w:pPr>
        <w:pStyle w:val="TOC1"/>
        <w:tabs>
          <w:tab w:val="right" w:leader="dot" w:pos="9360"/>
        </w:tabs>
      </w:pPr>
      <w:hyperlink w:anchor="_Toc12280" w:history="1">
        <w:r w:rsidR="00D37047">
          <w:rPr>
            <w:rFonts w:ascii="Rockwell" w:hAnsi="Rockwell" w:cs="Rockwell"/>
            <w:szCs w:val="24"/>
          </w:rPr>
          <w:t>TABLE OF CONTENTS</w:t>
        </w:r>
        <w:r w:rsidR="00D37047">
          <w:tab/>
        </w:r>
        <w:r w:rsidR="00D37047">
          <w:fldChar w:fldCharType="begin"/>
        </w:r>
        <w:r w:rsidR="00D37047">
          <w:instrText xml:space="preserve"> PAGEREF _Toc12280 </w:instrText>
        </w:r>
        <w:r w:rsidR="00D37047">
          <w:fldChar w:fldCharType="separate"/>
        </w:r>
        <w:r w:rsidR="00D37047">
          <w:t>4</w:t>
        </w:r>
        <w:r w:rsidR="00D37047">
          <w:fldChar w:fldCharType="end"/>
        </w:r>
      </w:hyperlink>
    </w:p>
    <w:p w:rsidR="00CE5995" w:rsidRDefault="007C5D7E">
      <w:pPr>
        <w:pStyle w:val="TOC1"/>
        <w:tabs>
          <w:tab w:val="right" w:leader="dot" w:pos="9360"/>
        </w:tabs>
      </w:pPr>
      <w:hyperlink w:anchor="_Toc24552" w:history="1">
        <w:r w:rsidR="00D37047">
          <w:rPr>
            <w:rFonts w:ascii="Rockwell" w:hAnsi="Rockwell" w:cs="Rockwell"/>
            <w:szCs w:val="24"/>
            <w:lang w:val="en-GB"/>
          </w:rPr>
          <w:t>ACRONYMS</w:t>
        </w:r>
        <w:r w:rsidR="00D37047">
          <w:tab/>
        </w:r>
        <w:r w:rsidR="00D37047">
          <w:fldChar w:fldCharType="begin"/>
        </w:r>
        <w:r w:rsidR="00D37047">
          <w:instrText xml:space="preserve"> PAGEREF _Toc24552 </w:instrText>
        </w:r>
        <w:r w:rsidR="00D37047">
          <w:fldChar w:fldCharType="separate"/>
        </w:r>
        <w:r w:rsidR="00D37047">
          <w:t>6</w:t>
        </w:r>
        <w:r w:rsidR="00D37047">
          <w:fldChar w:fldCharType="end"/>
        </w:r>
      </w:hyperlink>
    </w:p>
    <w:p w:rsidR="00CE5995" w:rsidRDefault="007C5D7E">
      <w:pPr>
        <w:pStyle w:val="TOC1"/>
        <w:tabs>
          <w:tab w:val="right" w:leader="dot" w:pos="9360"/>
        </w:tabs>
      </w:pPr>
      <w:hyperlink w:anchor="_Toc13181" w:history="1">
        <w:r w:rsidR="00D37047">
          <w:rPr>
            <w:rFonts w:ascii="Rockwell" w:hAnsi="Rockwell" w:cs="Rockwell"/>
            <w:szCs w:val="24"/>
          </w:rPr>
          <w:t>DEFINITION OF TERMS</w:t>
        </w:r>
        <w:r w:rsidR="00D37047">
          <w:tab/>
        </w:r>
        <w:r w:rsidR="00D37047">
          <w:fldChar w:fldCharType="begin"/>
        </w:r>
        <w:r w:rsidR="00D37047">
          <w:instrText xml:space="preserve"> PAGEREF _Toc13181 </w:instrText>
        </w:r>
        <w:r w:rsidR="00D37047">
          <w:fldChar w:fldCharType="separate"/>
        </w:r>
        <w:r w:rsidR="00D37047">
          <w:t>7</w:t>
        </w:r>
        <w:r w:rsidR="00D37047">
          <w:fldChar w:fldCharType="end"/>
        </w:r>
      </w:hyperlink>
    </w:p>
    <w:p w:rsidR="00CE5995" w:rsidRDefault="007C5D7E">
      <w:pPr>
        <w:pStyle w:val="TOC1"/>
        <w:tabs>
          <w:tab w:val="right" w:leader="dot" w:pos="9360"/>
        </w:tabs>
      </w:pPr>
      <w:hyperlink w:anchor="_Toc27204" w:history="1">
        <w:r w:rsidR="00D37047">
          <w:rPr>
            <w:rFonts w:ascii="Rockwell" w:hAnsi="Rockwell" w:cs="Rockwell"/>
            <w:szCs w:val="24"/>
          </w:rPr>
          <w:t>1.0 Background</w:t>
        </w:r>
        <w:r w:rsidR="00D37047">
          <w:tab/>
        </w:r>
        <w:r w:rsidR="00D37047">
          <w:fldChar w:fldCharType="begin"/>
        </w:r>
        <w:r w:rsidR="00D37047">
          <w:instrText xml:space="preserve"> PAGEREF _Toc27204 </w:instrText>
        </w:r>
        <w:r w:rsidR="00D37047">
          <w:fldChar w:fldCharType="separate"/>
        </w:r>
        <w:r w:rsidR="00D37047">
          <w:t>9</w:t>
        </w:r>
        <w:r w:rsidR="00D37047">
          <w:fldChar w:fldCharType="end"/>
        </w:r>
      </w:hyperlink>
    </w:p>
    <w:p w:rsidR="00CE5995" w:rsidRDefault="007C5D7E">
      <w:pPr>
        <w:pStyle w:val="TOC1"/>
        <w:tabs>
          <w:tab w:val="right" w:leader="dot" w:pos="9360"/>
        </w:tabs>
      </w:pPr>
      <w:hyperlink w:anchor="_Toc24141" w:history="1">
        <w:r w:rsidR="00D37047">
          <w:rPr>
            <w:rFonts w:ascii="Rockwell" w:hAnsi="Rockwell" w:cs="Rockwell"/>
            <w:szCs w:val="24"/>
          </w:rPr>
          <w:t xml:space="preserve">1.1 </w:t>
        </w:r>
        <w:r w:rsidR="00D37047">
          <w:rPr>
            <w:rFonts w:ascii="Rockwell" w:hAnsi="Rockwell" w:cs="Rockwell"/>
            <w:szCs w:val="24"/>
            <w:lang w:val="en-GB"/>
          </w:rPr>
          <w:t xml:space="preserve">The objective and scope of the </w:t>
        </w:r>
        <w:r w:rsidR="00313495">
          <w:rPr>
            <w:rFonts w:ascii="Rockwell" w:hAnsi="Rockwell" w:cs="Rockwell"/>
            <w:szCs w:val="24"/>
            <w:lang w:val="en-GB"/>
          </w:rPr>
          <w:t>Guideline</w:t>
        </w:r>
        <w:r w:rsidR="00D37047">
          <w:tab/>
        </w:r>
        <w:r w:rsidR="00D37047">
          <w:fldChar w:fldCharType="begin"/>
        </w:r>
        <w:r w:rsidR="00D37047">
          <w:instrText xml:space="preserve"> PAGEREF _Toc24141 </w:instrText>
        </w:r>
        <w:r w:rsidR="00D37047">
          <w:fldChar w:fldCharType="separate"/>
        </w:r>
        <w:r w:rsidR="00D37047">
          <w:t>10</w:t>
        </w:r>
        <w:r w:rsidR="00D37047">
          <w:fldChar w:fldCharType="end"/>
        </w:r>
      </w:hyperlink>
    </w:p>
    <w:p w:rsidR="00CE5995" w:rsidRDefault="007C5D7E">
      <w:pPr>
        <w:pStyle w:val="TOC1"/>
        <w:tabs>
          <w:tab w:val="right" w:leader="dot" w:pos="9360"/>
        </w:tabs>
      </w:pPr>
      <w:hyperlink w:anchor="_Toc29260" w:history="1">
        <w:r w:rsidR="00D37047">
          <w:rPr>
            <w:rFonts w:ascii="Rockwell" w:hAnsi="Rockwell" w:cs="Rockwell"/>
            <w:szCs w:val="24"/>
            <w:lang w:val="en-GB"/>
          </w:rPr>
          <w:t>1.2 The scope</w:t>
        </w:r>
        <w:r w:rsidR="00D37047">
          <w:tab/>
        </w:r>
        <w:r w:rsidR="00D37047">
          <w:fldChar w:fldCharType="begin"/>
        </w:r>
        <w:r w:rsidR="00D37047">
          <w:instrText xml:space="preserve"> PAGEREF _Toc29260 </w:instrText>
        </w:r>
        <w:r w:rsidR="00D37047">
          <w:fldChar w:fldCharType="separate"/>
        </w:r>
        <w:r w:rsidR="00D37047">
          <w:t>10</w:t>
        </w:r>
        <w:r w:rsidR="00D37047">
          <w:fldChar w:fldCharType="end"/>
        </w:r>
      </w:hyperlink>
    </w:p>
    <w:p w:rsidR="00CE5995" w:rsidRDefault="007C5D7E">
      <w:pPr>
        <w:pStyle w:val="TOC1"/>
        <w:tabs>
          <w:tab w:val="right" w:leader="dot" w:pos="9360"/>
        </w:tabs>
      </w:pPr>
      <w:hyperlink w:anchor="_Toc31344" w:history="1">
        <w:r w:rsidR="00D37047">
          <w:rPr>
            <w:rFonts w:ascii="Rockwell" w:hAnsi="Rockwell" w:cs="Rockwell"/>
            <w:szCs w:val="24"/>
          </w:rPr>
          <w:t>2.0 Policy, Legal And Institutional Framework</w:t>
        </w:r>
        <w:r w:rsidR="00D37047">
          <w:tab/>
        </w:r>
        <w:r w:rsidR="00D37047">
          <w:fldChar w:fldCharType="begin"/>
        </w:r>
        <w:r w:rsidR="00D37047">
          <w:instrText xml:space="preserve"> PAGEREF _Toc31344 </w:instrText>
        </w:r>
        <w:r w:rsidR="00D37047">
          <w:fldChar w:fldCharType="separate"/>
        </w:r>
        <w:r w:rsidR="00D37047">
          <w:t>11</w:t>
        </w:r>
        <w:r w:rsidR="00D37047">
          <w:fldChar w:fldCharType="end"/>
        </w:r>
      </w:hyperlink>
    </w:p>
    <w:p w:rsidR="00CE5995" w:rsidRDefault="007C5D7E">
      <w:pPr>
        <w:pStyle w:val="TOC1"/>
        <w:tabs>
          <w:tab w:val="right" w:leader="dot" w:pos="9360"/>
        </w:tabs>
      </w:pPr>
      <w:hyperlink w:anchor="_Toc6224" w:history="1">
        <w:r w:rsidR="00D37047">
          <w:rPr>
            <w:rFonts w:ascii="Rockwell" w:hAnsi="Rockwell" w:cs="Rockwell"/>
            <w:szCs w:val="24"/>
          </w:rPr>
          <w:t>2.</w:t>
        </w:r>
        <w:r w:rsidR="00D37047">
          <w:rPr>
            <w:rFonts w:ascii="Rockwell" w:hAnsi="Rockwell" w:cs="Rockwell"/>
            <w:szCs w:val="24"/>
            <w:lang w:val="en-GB"/>
          </w:rPr>
          <w:t>1</w:t>
        </w:r>
        <w:r w:rsidR="00D37047">
          <w:rPr>
            <w:rFonts w:ascii="Rockwell" w:hAnsi="Rockwell" w:cs="Rockwell"/>
            <w:szCs w:val="24"/>
          </w:rPr>
          <w:t xml:space="preserve"> Constitution of Kenya (CoK)</w:t>
        </w:r>
        <w:r w:rsidR="00D37047">
          <w:tab/>
        </w:r>
        <w:r w:rsidR="00D37047">
          <w:fldChar w:fldCharType="begin"/>
        </w:r>
        <w:r w:rsidR="00D37047">
          <w:instrText xml:space="preserve"> PAGEREF _Toc6224 </w:instrText>
        </w:r>
        <w:r w:rsidR="00D37047">
          <w:fldChar w:fldCharType="separate"/>
        </w:r>
        <w:r w:rsidR="00D37047">
          <w:t>11</w:t>
        </w:r>
        <w:r w:rsidR="00D37047">
          <w:fldChar w:fldCharType="end"/>
        </w:r>
      </w:hyperlink>
    </w:p>
    <w:p w:rsidR="00CE5995" w:rsidRDefault="007C5D7E">
      <w:pPr>
        <w:pStyle w:val="TOC1"/>
        <w:tabs>
          <w:tab w:val="right" w:leader="dot" w:pos="9360"/>
        </w:tabs>
      </w:pPr>
      <w:hyperlink w:anchor="_Toc21432" w:history="1">
        <w:r w:rsidR="00D37047">
          <w:rPr>
            <w:rFonts w:ascii="Rockwell" w:hAnsi="Rockwell" w:cs="Rockwell"/>
            <w:szCs w:val="24"/>
            <w:lang w:val="en-GB"/>
          </w:rPr>
          <w:t xml:space="preserve">2.2 </w:t>
        </w:r>
        <w:r w:rsidR="00D37047">
          <w:rPr>
            <w:rFonts w:ascii="Rockwell" w:hAnsi="Rockwell" w:cs="Rockwell"/>
            <w:szCs w:val="24"/>
          </w:rPr>
          <w:t>Policy, Legal and Institutional Framework Matrix</w:t>
        </w:r>
        <w:r w:rsidR="00D37047">
          <w:tab/>
        </w:r>
        <w:r w:rsidR="00D37047">
          <w:fldChar w:fldCharType="begin"/>
        </w:r>
        <w:r w:rsidR="00D37047">
          <w:instrText xml:space="preserve"> PAGEREF _Toc21432 </w:instrText>
        </w:r>
        <w:r w:rsidR="00D37047">
          <w:fldChar w:fldCharType="separate"/>
        </w:r>
        <w:r w:rsidR="00D37047">
          <w:t>12</w:t>
        </w:r>
        <w:r w:rsidR="00D37047">
          <w:fldChar w:fldCharType="end"/>
        </w:r>
      </w:hyperlink>
    </w:p>
    <w:p w:rsidR="00CE5995" w:rsidRDefault="007C5D7E">
      <w:pPr>
        <w:pStyle w:val="TOC1"/>
        <w:tabs>
          <w:tab w:val="right" w:leader="dot" w:pos="9360"/>
        </w:tabs>
      </w:pPr>
      <w:hyperlink w:anchor="_Toc31384" w:history="1">
        <w:r w:rsidR="00D37047">
          <w:rPr>
            <w:rFonts w:ascii="Rockwell" w:hAnsi="Rockwell" w:cs="Rockwell"/>
            <w:szCs w:val="24"/>
          </w:rPr>
          <w:t xml:space="preserve">3.0 </w:t>
        </w:r>
        <w:r w:rsidR="00313495">
          <w:rPr>
            <w:rFonts w:ascii="Rockwell" w:hAnsi="Rockwell" w:cs="Rockwell"/>
            <w:szCs w:val="24"/>
            <w:lang w:val="en-GB"/>
          </w:rPr>
          <w:t>Guideline</w:t>
        </w:r>
        <w:r w:rsidR="00D37047">
          <w:rPr>
            <w:rFonts w:ascii="Rockwell" w:hAnsi="Rockwell" w:cs="Rockwell"/>
            <w:szCs w:val="24"/>
            <w:lang w:val="en-GB"/>
          </w:rPr>
          <w:t xml:space="preserve"> on </w:t>
        </w:r>
        <w:r w:rsidR="00D37047">
          <w:rPr>
            <w:rFonts w:ascii="Rockwell" w:hAnsi="Rockwell" w:cs="Rockwell"/>
            <w:szCs w:val="24"/>
          </w:rPr>
          <w:t xml:space="preserve">Mine Site Decommissioning </w:t>
        </w:r>
        <w:r w:rsidR="00D37047">
          <w:rPr>
            <w:rFonts w:ascii="Rockwell" w:hAnsi="Rockwell" w:cs="Rockwell"/>
            <w:szCs w:val="24"/>
            <w:lang w:val="en-GB"/>
          </w:rPr>
          <w:t xml:space="preserve">and Rehabilitation </w:t>
        </w:r>
        <w:r w:rsidR="00D37047">
          <w:rPr>
            <w:rFonts w:ascii="Rockwell" w:hAnsi="Rockwell" w:cs="Rockwell"/>
            <w:szCs w:val="24"/>
          </w:rPr>
          <w:t>Plan</w:t>
        </w:r>
        <w:r w:rsidR="00D37047">
          <w:tab/>
        </w:r>
        <w:r w:rsidR="00D37047">
          <w:fldChar w:fldCharType="begin"/>
        </w:r>
        <w:r w:rsidR="00D37047">
          <w:instrText xml:space="preserve"> PAGEREF _Toc31384 </w:instrText>
        </w:r>
        <w:r w:rsidR="00D37047">
          <w:fldChar w:fldCharType="separate"/>
        </w:r>
        <w:r w:rsidR="00D37047">
          <w:t>19</w:t>
        </w:r>
        <w:r w:rsidR="00D37047">
          <w:fldChar w:fldCharType="end"/>
        </w:r>
      </w:hyperlink>
    </w:p>
    <w:p w:rsidR="00CE5995" w:rsidRDefault="007C5D7E">
      <w:pPr>
        <w:pStyle w:val="TOC1"/>
        <w:tabs>
          <w:tab w:val="right" w:leader="dot" w:pos="9360"/>
        </w:tabs>
      </w:pPr>
      <w:hyperlink w:anchor="_Toc29219" w:history="1">
        <w:r w:rsidR="00D37047">
          <w:rPr>
            <w:rFonts w:ascii="Rockwell" w:hAnsi="Rockwell" w:cs="Rockwell"/>
            <w:szCs w:val="24"/>
            <w:lang w:val="en-GB"/>
          </w:rPr>
          <w:t>3.1</w:t>
        </w:r>
        <w:r w:rsidR="00D37047">
          <w:rPr>
            <w:rFonts w:ascii="Rockwell" w:hAnsi="Rockwell" w:cs="Rockwell"/>
            <w:szCs w:val="24"/>
          </w:rPr>
          <w:t xml:space="preserve"> Typical Structure of the Mine Closure Plan</w:t>
        </w:r>
        <w:r w:rsidR="00D37047">
          <w:tab/>
        </w:r>
        <w:r w:rsidR="00D37047">
          <w:fldChar w:fldCharType="begin"/>
        </w:r>
        <w:r w:rsidR="00D37047">
          <w:instrText xml:space="preserve"> PAGEREF _Toc29219 </w:instrText>
        </w:r>
        <w:r w:rsidR="00D37047">
          <w:fldChar w:fldCharType="separate"/>
        </w:r>
        <w:r w:rsidR="00D37047">
          <w:t>19</w:t>
        </w:r>
        <w:r w:rsidR="00D37047">
          <w:fldChar w:fldCharType="end"/>
        </w:r>
      </w:hyperlink>
    </w:p>
    <w:p w:rsidR="00CE5995" w:rsidRDefault="007C5D7E">
      <w:pPr>
        <w:pStyle w:val="TOC1"/>
        <w:tabs>
          <w:tab w:val="right" w:leader="dot" w:pos="9360"/>
        </w:tabs>
      </w:pPr>
      <w:hyperlink w:anchor="_Toc8369" w:history="1">
        <w:r w:rsidR="00D37047">
          <w:rPr>
            <w:rFonts w:ascii="Rockwell" w:hAnsi="Rockwell" w:cs="Rockwell"/>
            <w:szCs w:val="24"/>
          </w:rPr>
          <w:t xml:space="preserve">3.2  Key issues in the mine site decommissioning </w:t>
        </w:r>
        <w:r w:rsidR="00D37047">
          <w:rPr>
            <w:rFonts w:ascii="Rockwell" w:hAnsi="Rockwell" w:cs="Rockwell"/>
            <w:szCs w:val="24"/>
            <w:lang w:val="en-GB"/>
          </w:rPr>
          <w:t xml:space="preserve">and rehabilitation </w:t>
        </w:r>
        <w:r w:rsidR="00D37047">
          <w:rPr>
            <w:rFonts w:ascii="Rockwell" w:hAnsi="Rockwell" w:cs="Rockwell"/>
            <w:szCs w:val="24"/>
          </w:rPr>
          <w:t>plan</w:t>
        </w:r>
        <w:r w:rsidR="00D37047">
          <w:tab/>
        </w:r>
        <w:r w:rsidR="00D37047">
          <w:fldChar w:fldCharType="begin"/>
        </w:r>
        <w:r w:rsidR="00D37047">
          <w:instrText xml:space="preserve"> PAGEREF _Toc8369 </w:instrText>
        </w:r>
        <w:r w:rsidR="00D37047">
          <w:fldChar w:fldCharType="separate"/>
        </w:r>
        <w:r w:rsidR="00D37047">
          <w:t>21</w:t>
        </w:r>
        <w:r w:rsidR="00D37047">
          <w:fldChar w:fldCharType="end"/>
        </w:r>
      </w:hyperlink>
    </w:p>
    <w:p w:rsidR="00CE5995" w:rsidRDefault="007C5D7E">
      <w:pPr>
        <w:pStyle w:val="TOC2"/>
        <w:tabs>
          <w:tab w:val="right" w:leader="dot" w:pos="9360"/>
        </w:tabs>
      </w:pPr>
      <w:hyperlink w:anchor="_Toc2150" w:history="1">
        <w:r w:rsidR="00D37047">
          <w:rPr>
            <w:rFonts w:ascii="Rockwell" w:hAnsi="Rockwell" w:cs="Rockwell"/>
            <w:szCs w:val="24"/>
          </w:rPr>
          <w:t>3.2.1 Water Quality and Quantity:</w:t>
        </w:r>
        <w:r w:rsidR="00D37047">
          <w:tab/>
        </w:r>
        <w:r w:rsidR="00D37047">
          <w:fldChar w:fldCharType="begin"/>
        </w:r>
        <w:r w:rsidR="00D37047">
          <w:instrText xml:space="preserve"> PAGEREF _Toc2150 </w:instrText>
        </w:r>
        <w:r w:rsidR="00D37047">
          <w:fldChar w:fldCharType="separate"/>
        </w:r>
        <w:r w:rsidR="00D37047">
          <w:t>21</w:t>
        </w:r>
        <w:r w:rsidR="00D37047">
          <w:fldChar w:fldCharType="end"/>
        </w:r>
      </w:hyperlink>
    </w:p>
    <w:p w:rsidR="00CE5995" w:rsidRDefault="007C5D7E">
      <w:pPr>
        <w:pStyle w:val="TOC2"/>
        <w:tabs>
          <w:tab w:val="right" w:leader="dot" w:pos="9360"/>
        </w:tabs>
      </w:pPr>
      <w:hyperlink w:anchor="_Toc7767" w:history="1">
        <w:r w:rsidR="00D37047">
          <w:rPr>
            <w:rFonts w:ascii="Rockwell" w:hAnsi="Rockwell" w:cs="Rockwell"/>
            <w:szCs w:val="24"/>
          </w:rPr>
          <w:t>3.2.2 Air Quality:</w:t>
        </w:r>
        <w:r w:rsidR="00D37047">
          <w:tab/>
        </w:r>
        <w:r w:rsidR="00D37047">
          <w:fldChar w:fldCharType="begin"/>
        </w:r>
        <w:r w:rsidR="00D37047">
          <w:instrText xml:space="preserve"> PAGEREF _Toc7767 </w:instrText>
        </w:r>
        <w:r w:rsidR="00D37047">
          <w:fldChar w:fldCharType="separate"/>
        </w:r>
        <w:r w:rsidR="00D37047">
          <w:t>22</w:t>
        </w:r>
        <w:r w:rsidR="00D37047">
          <w:fldChar w:fldCharType="end"/>
        </w:r>
      </w:hyperlink>
    </w:p>
    <w:p w:rsidR="00CE5995" w:rsidRDefault="007C5D7E">
      <w:pPr>
        <w:pStyle w:val="TOC2"/>
        <w:tabs>
          <w:tab w:val="right" w:leader="dot" w:pos="9360"/>
        </w:tabs>
      </w:pPr>
      <w:hyperlink w:anchor="_Toc16324" w:history="1">
        <w:r w:rsidR="00D37047">
          <w:rPr>
            <w:rFonts w:ascii="Rockwell" w:hAnsi="Rockwell" w:cs="Rockwell"/>
            <w:szCs w:val="24"/>
          </w:rPr>
          <w:t>3.2.3 Waste Management:</w:t>
        </w:r>
        <w:r w:rsidR="00D37047">
          <w:tab/>
        </w:r>
        <w:r w:rsidR="00D37047">
          <w:fldChar w:fldCharType="begin"/>
        </w:r>
        <w:r w:rsidR="00D37047">
          <w:instrText xml:space="preserve"> PAGEREF _Toc16324 </w:instrText>
        </w:r>
        <w:r w:rsidR="00D37047">
          <w:fldChar w:fldCharType="separate"/>
        </w:r>
        <w:r w:rsidR="00D37047">
          <w:t>22</w:t>
        </w:r>
        <w:r w:rsidR="00D37047">
          <w:fldChar w:fldCharType="end"/>
        </w:r>
      </w:hyperlink>
    </w:p>
    <w:p w:rsidR="00CE5995" w:rsidRDefault="007C5D7E">
      <w:pPr>
        <w:pStyle w:val="TOC2"/>
        <w:tabs>
          <w:tab w:val="right" w:leader="dot" w:pos="9360"/>
        </w:tabs>
      </w:pPr>
      <w:hyperlink w:anchor="_Toc4716" w:history="1">
        <w:r w:rsidR="00D37047">
          <w:rPr>
            <w:rFonts w:ascii="Rockwell" w:hAnsi="Rockwell" w:cs="Rockwell"/>
            <w:szCs w:val="24"/>
          </w:rPr>
          <w:t>3.2.4 Soil Quality:</w:t>
        </w:r>
        <w:r w:rsidR="00D37047">
          <w:tab/>
        </w:r>
        <w:r w:rsidR="00D37047">
          <w:fldChar w:fldCharType="begin"/>
        </w:r>
        <w:r w:rsidR="00D37047">
          <w:instrText xml:space="preserve"> PAGEREF _Toc4716 </w:instrText>
        </w:r>
        <w:r w:rsidR="00D37047">
          <w:fldChar w:fldCharType="separate"/>
        </w:r>
        <w:r w:rsidR="00D37047">
          <w:t>23</w:t>
        </w:r>
        <w:r w:rsidR="00D37047">
          <w:fldChar w:fldCharType="end"/>
        </w:r>
      </w:hyperlink>
    </w:p>
    <w:p w:rsidR="00CE5995" w:rsidRDefault="007C5D7E">
      <w:pPr>
        <w:pStyle w:val="TOC2"/>
        <w:tabs>
          <w:tab w:val="right" w:leader="dot" w:pos="9360"/>
        </w:tabs>
      </w:pPr>
      <w:hyperlink w:anchor="_Toc5017" w:history="1">
        <w:r w:rsidR="00D37047">
          <w:rPr>
            <w:rFonts w:ascii="Rockwell" w:hAnsi="Rockwell" w:cs="Rockwell"/>
            <w:szCs w:val="24"/>
          </w:rPr>
          <w:t>3.2.5 Biodiversity and threatened species</w:t>
        </w:r>
        <w:r w:rsidR="00D37047">
          <w:tab/>
        </w:r>
        <w:r w:rsidR="00D37047">
          <w:fldChar w:fldCharType="begin"/>
        </w:r>
        <w:r w:rsidR="00D37047">
          <w:instrText xml:space="preserve"> PAGEREF _Toc5017 </w:instrText>
        </w:r>
        <w:r w:rsidR="00D37047">
          <w:fldChar w:fldCharType="separate"/>
        </w:r>
        <w:r w:rsidR="00D37047">
          <w:t>23</w:t>
        </w:r>
        <w:r w:rsidR="00D37047">
          <w:fldChar w:fldCharType="end"/>
        </w:r>
      </w:hyperlink>
    </w:p>
    <w:p w:rsidR="00CE5995" w:rsidRDefault="007C5D7E">
      <w:pPr>
        <w:pStyle w:val="TOC2"/>
        <w:tabs>
          <w:tab w:val="right" w:leader="dot" w:pos="9360"/>
        </w:tabs>
      </w:pPr>
      <w:hyperlink w:anchor="_Toc2774" w:history="1">
        <w:r w:rsidR="00D37047">
          <w:rPr>
            <w:rFonts w:ascii="Rockwell" w:hAnsi="Rockwell" w:cs="Rockwell"/>
            <w:szCs w:val="24"/>
          </w:rPr>
          <w:t>3.2.6 Tailing storage facility management</w:t>
        </w:r>
        <w:r w:rsidR="00D37047">
          <w:tab/>
        </w:r>
        <w:r w:rsidR="00D37047">
          <w:fldChar w:fldCharType="begin"/>
        </w:r>
        <w:r w:rsidR="00D37047">
          <w:instrText xml:space="preserve"> PAGEREF _Toc2774 </w:instrText>
        </w:r>
        <w:r w:rsidR="00D37047">
          <w:fldChar w:fldCharType="separate"/>
        </w:r>
        <w:r w:rsidR="00D37047">
          <w:t>23</w:t>
        </w:r>
        <w:r w:rsidR="00D37047">
          <w:fldChar w:fldCharType="end"/>
        </w:r>
      </w:hyperlink>
    </w:p>
    <w:p w:rsidR="00CE5995" w:rsidRDefault="007C5D7E">
      <w:pPr>
        <w:pStyle w:val="TOC2"/>
        <w:tabs>
          <w:tab w:val="right" w:leader="dot" w:pos="9360"/>
        </w:tabs>
      </w:pPr>
      <w:hyperlink w:anchor="_Toc16962" w:history="1">
        <w:r w:rsidR="00D37047">
          <w:rPr>
            <w:rFonts w:ascii="Rockwell" w:hAnsi="Rockwell" w:cs="Rockwell"/>
            <w:szCs w:val="24"/>
          </w:rPr>
          <w:t>3.2.7 Disused mine pits</w:t>
        </w:r>
        <w:r w:rsidR="00D37047">
          <w:tab/>
        </w:r>
        <w:r w:rsidR="00D37047">
          <w:fldChar w:fldCharType="begin"/>
        </w:r>
        <w:r w:rsidR="00D37047">
          <w:instrText xml:space="preserve"> PAGEREF _Toc16962 </w:instrText>
        </w:r>
        <w:r w:rsidR="00D37047">
          <w:fldChar w:fldCharType="separate"/>
        </w:r>
        <w:r w:rsidR="00D37047">
          <w:t>24</w:t>
        </w:r>
        <w:r w:rsidR="00D37047">
          <w:fldChar w:fldCharType="end"/>
        </w:r>
      </w:hyperlink>
    </w:p>
    <w:p w:rsidR="00CE5995" w:rsidRDefault="007C5D7E">
      <w:pPr>
        <w:pStyle w:val="TOC2"/>
        <w:tabs>
          <w:tab w:val="right" w:leader="dot" w:pos="9360"/>
        </w:tabs>
      </w:pPr>
      <w:hyperlink w:anchor="_Toc23623" w:history="1">
        <w:r w:rsidR="00D37047">
          <w:rPr>
            <w:rFonts w:ascii="Rockwell" w:hAnsi="Rockwell" w:cs="Rockwell"/>
            <w:szCs w:val="24"/>
          </w:rPr>
          <w:t>3.2.8 Infrastructure</w:t>
        </w:r>
        <w:r w:rsidR="00D37047">
          <w:tab/>
        </w:r>
        <w:r w:rsidR="00D37047">
          <w:fldChar w:fldCharType="begin"/>
        </w:r>
        <w:r w:rsidR="00D37047">
          <w:instrText xml:space="preserve"> PAGEREF _Toc23623 </w:instrText>
        </w:r>
        <w:r w:rsidR="00D37047">
          <w:fldChar w:fldCharType="separate"/>
        </w:r>
        <w:r w:rsidR="00D37047">
          <w:t>24</w:t>
        </w:r>
        <w:r w:rsidR="00D37047">
          <w:fldChar w:fldCharType="end"/>
        </w:r>
      </w:hyperlink>
    </w:p>
    <w:p w:rsidR="00CE5995" w:rsidRDefault="007C5D7E">
      <w:pPr>
        <w:pStyle w:val="TOC2"/>
        <w:tabs>
          <w:tab w:val="right" w:leader="dot" w:pos="9360"/>
        </w:tabs>
      </w:pPr>
      <w:hyperlink w:anchor="_Toc17996" w:history="1">
        <w:r w:rsidR="00D37047">
          <w:rPr>
            <w:rFonts w:ascii="Rockwell" w:hAnsi="Rockwell" w:cs="Rockwell"/>
            <w:szCs w:val="24"/>
          </w:rPr>
          <w:t>3.2.9 Disposal of mining machinery and equipment (movable and immovable assets)</w:t>
        </w:r>
        <w:r w:rsidR="00D37047">
          <w:tab/>
        </w:r>
        <w:r w:rsidR="00D37047">
          <w:fldChar w:fldCharType="begin"/>
        </w:r>
        <w:r w:rsidR="00D37047">
          <w:instrText xml:space="preserve"> PAGEREF _Toc17996 </w:instrText>
        </w:r>
        <w:r w:rsidR="00D37047">
          <w:fldChar w:fldCharType="separate"/>
        </w:r>
        <w:r w:rsidR="00D37047">
          <w:t>24</w:t>
        </w:r>
        <w:r w:rsidR="00D37047">
          <w:fldChar w:fldCharType="end"/>
        </w:r>
      </w:hyperlink>
    </w:p>
    <w:p w:rsidR="00CE5995" w:rsidRDefault="007C5D7E">
      <w:pPr>
        <w:pStyle w:val="TOC2"/>
        <w:tabs>
          <w:tab w:val="right" w:leader="dot" w:pos="9360"/>
        </w:tabs>
      </w:pPr>
      <w:hyperlink w:anchor="_Toc13619" w:history="1">
        <w:r w:rsidR="00D37047">
          <w:rPr>
            <w:rFonts w:ascii="Rockwell" w:hAnsi="Rockwell" w:cs="Rockwell"/>
            <w:szCs w:val="24"/>
          </w:rPr>
          <w:t>3.2.10 Safety and Security</w:t>
        </w:r>
        <w:r w:rsidR="00D37047">
          <w:tab/>
        </w:r>
        <w:r w:rsidR="00D37047">
          <w:fldChar w:fldCharType="begin"/>
        </w:r>
        <w:r w:rsidR="00D37047">
          <w:instrText xml:space="preserve"> PAGEREF _Toc13619 </w:instrText>
        </w:r>
        <w:r w:rsidR="00D37047">
          <w:fldChar w:fldCharType="separate"/>
        </w:r>
        <w:r w:rsidR="00D37047">
          <w:t>25</w:t>
        </w:r>
        <w:r w:rsidR="00D37047">
          <w:fldChar w:fldCharType="end"/>
        </w:r>
      </w:hyperlink>
    </w:p>
    <w:p w:rsidR="00CE5995" w:rsidRDefault="007C5D7E">
      <w:pPr>
        <w:pStyle w:val="TOC2"/>
        <w:tabs>
          <w:tab w:val="right" w:leader="dot" w:pos="9360"/>
        </w:tabs>
      </w:pPr>
      <w:hyperlink w:anchor="_Toc8717" w:history="1">
        <w:r w:rsidR="00D37047">
          <w:rPr>
            <w:rFonts w:ascii="Rockwell" w:hAnsi="Rockwell" w:cs="Rockwell"/>
            <w:szCs w:val="24"/>
          </w:rPr>
          <w:t>3.2.11 Disaster Management and Risk Assessment</w:t>
        </w:r>
        <w:r w:rsidR="00D37047">
          <w:tab/>
        </w:r>
        <w:r w:rsidR="00D37047">
          <w:fldChar w:fldCharType="begin"/>
        </w:r>
        <w:r w:rsidR="00D37047">
          <w:instrText xml:space="preserve"> PAGEREF _Toc8717 </w:instrText>
        </w:r>
        <w:r w:rsidR="00D37047">
          <w:fldChar w:fldCharType="separate"/>
        </w:r>
        <w:r w:rsidR="00D37047">
          <w:t>25</w:t>
        </w:r>
        <w:r w:rsidR="00D37047">
          <w:fldChar w:fldCharType="end"/>
        </w:r>
      </w:hyperlink>
    </w:p>
    <w:p w:rsidR="00CE5995" w:rsidRDefault="007C5D7E">
      <w:pPr>
        <w:pStyle w:val="TOC2"/>
        <w:tabs>
          <w:tab w:val="right" w:leader="dot" w:pos="9360"/>
        </w:tabs>
      </w:pPr>
      <w:hyperlink w:anchor="_Toc11648" w:history="1">
        <w:r w:rsidR="00D37047">
          <w:rPr>
            <w:rFonts w:ascii="Rockwell" w:hAnsi="Rockwell" w:cs="Rockwell"/>
            <w:szCs w:val="24"/>
          </w:rPr>
          <w:t>3.2.12 Care and maintenance during temporary discontinuance</w:t>
        </w:r>
        <w:r w:rsidR="00D37047">
          <w:tab/>
        </w:r>
        <w:r w:rsidR="00D37047">
          <w:fldChar w:fldCharType="begin"/>
        </w:r>
        <w:r w:rsidR="00D37047">
          <w:instrText xml:space="preserve"> PAGEREF _Toc11648 </w:instrText>
        </w:r>
        <w:r w:rsidR="00D37047">
          <w:fldChar w:fldCharType="separate"/>
        </w:r>
        <w:r w:rsidR="00D37047">
          <w:t>25</w:t>
        </w:r>
        <w:r w:rsidR="00D37047">
          <w:fldChar w:fldCharType="end"/>
        </w:r>
      </w:hyperlink>
    </w:p>
    <w:p w:rsidR="00CE5995" w:rsidRDefault="007C5D7E">
      <w:pPr>
        <w:pStyle w:val="TOC2"/>
        <w:tabs>
          <w:tab w:val="right" w:leader="dot" w:pos="9360"/>
        </w:tabs>
      </w:pPr>
      <w:hyperlink w:anchor="_Toc22806" w:history="1">
        <w:r w:rsidR="00D37047">
          <w:rPr>
            <w:rFonts w:ascii="Rockwell" w:hAnsi="Rockwell" w:cs="Rockwell"/>
            <w:bCs/>
            <w:szCs w:val="24"/>
          </w:rPr>
          <w:t>3.2.13 Visual amenity</w:t>
        </w:r>
        <w:r w:rsidR="00D37047">
          <w:tab/>
        </w:r>
        <w:r w:rsidR="00D37047">
          <w:fldChar w:fldCharType="begin"/>
        </w:r>
        <w:r w:rsidR="00D37047">
          <w:instrText xml:space="preserve"> PAGEREF _Toc22806 </w:instrText>
        </w:r>
        <w:r w:rsidR="00D37047">
          <w:fldChar w:fldCharType="separate"/>
        </w:r>
        <w:r w:rsidR="00D37047">
          <w:t>25</w:t>
        </w:r>
        <w:r w:rsidR="00D37047">
          <w:fldChar w:fldCharType="end"/>
        </w:r>
      </w:hyperlink>
    </w:p>
    <w:p w:rsidR="00CE5995" w:rsidRDefault="007C5D7E">
      <w:pPr>
        <w:pStyle w:val="TOC2"/>
        <w:tabs>
          <w:tab w:val="right" w:leader="dot" w:pos="9360"/>
        </w:tabs>
      </w:pPr>
      <w:hyperlink w:anchor="_Toc24759" w:history="1">
        <w:r w:rsidR="00D37047">
          <w:rPr>
            <w:rFonts w:ascii="Rockwell" w:hAnsi="Rockwell" w:cs="Rockwell"/>
            <w:bCs/>
            <w:szCs w:val="24"/>
          </w:rPr>
          <w:t>3.2.14 Heritage and cultural aspects</w:t>
        </w:r>
        <w:r w:rsidR="00D37047">
          <w:tab/>
        </w:r>
        <w:r w:rsidR="00D37047">
          <w:fldChar w:fldCharType="begin"/>
        </w:r>
        <w:r w:rsidR="00D37047">
          <w:instrText xml:space="preserve"> PAGEREF _Toc24759 </w:instrText>
        </w:r>
        <w:r w:rsidR="00D37047">
          <w:fldChar w:fldCharType="separate"/>
        </w:r>
        <w:r w:rsidR="00D37047">
          <w:t>26</w:t>
        </w:r>
        <w:r w:rsidR="00D37047">
          <w:fldChar w:fldCharType="end"/>
        </w:r>
      </w:hyperlink>
    </w:p>
    <w:p w:rsidR="00CE5995" w:rsidRDefault="007C5D7E">
      <w:pPr>
        <w:pStyle w:val="TOC2"/>
        <w:tabs>
          <w:tab w:val="right" w:leader="dot" w:pos="9360"/>
        </w:tabs>
      </w:pPr>
      <w:hyperlink w:anchor="_Toc3613" w:history="1">
        <w:r w:rsidR="00D37047">
          <w:rPr>
            <w:rFonts w:ascii="Rockwell" w:hAnsi="Rockwell" w:cs="Rockwell"/>
            <w:szCs w:val="24"/>
          </w:rPr>
          <w:t>3.2.15 Post-Mining Land Use and Closure Objectives</w:t>
        </w:r>
        <w:r w:rsidR="00D37047">
          <w:tab/>
        </w:r>
        <w:r w:rsidR="00D37047">
          <w:fldChar w:fldCharType="begin"/>
        </w:r>
        <w:r w:rsidR="00D37047">
          <w:instrText xml:space="preserve"> PAGEREF _Toc3613 </w:instrText>
        </w:r>
        <w:r w:rsidR="00D37047">
          <w:fldChar w:fldCharType="separate"/>
        </w:r>
        <w:r w:rsidR="00D37047">
          <w:t>26</w:t>
        </w:r>
        <w:r w:rsidR="00D37047">
          <w:fldChar w:fldCharType="end"/>
        </w:r>
      </w:hyperlink>
    </w:p>
    <w:p w:rsidR="00CE5995" w:rsidRDefault="007C5D7E">
      <w:pPr>
        <w:pStyle w:val="TOC2"/>
        <w:tabs>
          <w:tab w:val="right" w:leader="dot" w:pos="9360"/>
        </w:tabs>
      </w:pPr>
      <w:hyperlink w:anchor="_Toc20158" w:history="1">
        <w:r w:rsidR="00D37047">
          <w:rPr>
            <w:rFonts w:ascii="Rockwell" w:hAnsi="Rockwell" w:cs="Rockwell"/>
            <w:szCs w:val="24"/>
          </w:rPr>
          <w:t>3.2.16. Identification of Closure Obligations and Commitments</w:t>
        </w:r>
        <w:r w:rsidR="00D37047">
          <w:tab/>
        </w:r>
        <w:r w:rsidR="00D37047">
          <w:fldChar w:fldCharType="begin"/>
        </w:r>
        <w:r w:rsidR="00D37047">
          <w:instrText xml:space="preserve"> PAGEREF _Toc20158 </w:instrText>
        </w:r>
        <w:r w:rsidR="00D37047">
          <w:fldChar w:fldCharType="separate"/>
        </w:r>
        <w:r w:rsidR="00D37047">
          <w:t>27</w:t>
        </w:r>
        <w:r w:rsidR="00D37047">
          <w:fldChar w:fldCharType="end"/>
        </w:r>
      </w:hyperlink>
    </w:p>
    <w:p w:rsidR="00CE5995" w:rsidRDefault="007C5D7E">
      <w:pPr>
        <w:pStyle w:val="TOC2"/>
        <w:tabs>
          <w:tab w:val="right" w:leader="dot" w:pos="9360"/>
        </w:tabs>
      </w:pPr>
      <w:hyperlink w:anchor="_Toc12624" w:history="1">
        <w:r w:rsidR="00D37047">
          <w:rPr>
            <w:rFonts w:ascii="Rockwell" w:hAnsi="Rockwell" w:cs="Rockwell"/>
            <w:szCs w:val="24"/>
          </w:rPr>
          <w:t>3.2.17. Engagement with the project affected persons, local communities and other Stakeholders</w:t>
        </w:r>
        <w:r w:rsidR="00D37047">
          <w:tab/>
        </w:r>
        <w:r w:rsidR="00D37047">
          <w:fldChar w:fldCharType="begin"/>
        </w:r>
        <w:r w:rsidR="00D37047">
          <w:instrText xml:space="preserve"> PAGEREF _Toc12624 </w:instrText>
        </w:r>
        <w:r w:rsidR="00D37047">
          <w:fldChar w:fldCharType="separate"/>
        </w:r>
        <w:r w:rsidR="00D37047">
          <w:t>27</w:t>
        </w:r>
        <w:r w:rsidR="00D37047">
          <w:fldChar w:fldCharType="end"/>
        </w:r>
      </w:hyperlink>
    </w:p>
    <w:p w:rsidR="00CE5995" w:rsidRDefault="007C5D7E">
      <w:pPr>
        <w:pStyle w:val="TOC2"/>
        <w:tabs>
          <w:tab w:val="right" w:leader="dot" w:pos="9360"/>
        </w:tabs>
      </w:pPr>
      <w:hyperlink w:anchor="_Toc24421" w:history="1">
        <w:r w:rsidR="00D37047">
          <w:rPr>
            <w:rFonts w:ascii="Rockwell" w:hAnsi="Rockwell" w:cs="Rockwell"/>
            <w:szCs w:val="24"/>
          </w:rPr>
          <w:t>3.2.18. Post closure Audits and Monitoring responsibilities</w:t>
        </w:r>
        <w:r w:rsidR="00D37047">
          <w:tab/>
        </w:r>
        <w:r w:rsidR="00D37047">
          <w:fldChar w:fldCharType="begin"/>
        </w:r>
        <w:r w:rsidR="00D37047">
          <w:instrText xml:space="preserve"> PAGEREF _Toc24421 </w:instrText>
        </w:r>
        <w:r w:rsidR="00D37047">
          <w:fldChar w:fldCharType="separate"/>
        </w:r>
        <w:r w:rsidR="00D37047">
          <w:t>28</w:t>
        </w:r>
        <w:r w:rsidR="00D37047">
          <w:fldChar w:fldCharType="end"/>
        </w:r>
      </w:hyperlink>
    </w:p>
    <w:p w:rsidR="00CE5995" w:rsidRDefault="007C5D7E">
      <w:pPr>
        <w:pStyle w:val="TOC2"/>
        <w:tabs>
          <w:tab w:val="right" w:leader="dot" w:pos="9360"/>
        </w:tabs>
      </w:pPr>
      <w:hyperlink w:anchor="_Toc18997" w:history="1">
        <w:r w:rsidR="00D37047">
          <w:rPr>
            <w:rFonts w:ascii="Rockwell" w:hAnsi="Rockwell" w:cs="Rockwell"/>
            <w:szCs w:val="24"/>
          </w:rPr>
          <w:t>3.2.19. Financial Provision for Closure</w:t>
        </w:r>
        <w:r w:rsidR="00D37047">
          <w:tab/>
        </w:r>
        <w:r w:rsidR="00D37047">
          <w:fldChar w:fldCharType="begin"/>
        </w:r>
        <w:r w:rsidR="00D37047">
          <w:instrText xml:space="preserve"> PAGEREF _Toc18997 </w:instrText>
        </w:r>
        <w:r w:rsidR="00D37047">
          <w:fldChar w:fldCharType="separate"/>
        </w:r>
        <w:r w:rsidR="00D37047">
          <w:t>29</w:t>
        </w:r>
        <w:r w:rsidR="00D37047">
          <w:fldChar w:fldCharType="end"/>
        </w:r>
      </w:hyperlink>
    </w:p>
    <w:p w:rsidR="00CE5995" w:rsidRDefault="007C5D7E">
      <w:pPr>
        <w:pStyle w:val="TOC1"/>
        <w:tabs>
          <w:tab w:val="right" w:leader="dot" w:pos="9360"/>
        </w:tabs>
      </w:pPr>
      <w:hyperlink w:anchor="_Toc1864" w:history="1">
        <w:r w:rsidR="00D37047">
          <w:rPr>
            <w:rFonts w:ascii="Rockwell" w:hAnsi="Rockwell" w:cs="Rockwell"/>
            <w:szCs w:val="24"/>
          </w:rPr>
          <w:t>3.3  Review of Mine decommissioning and rehabilitation plan</w:t>
        </w:r>
        <w:r w:rsidR="00D37047">
          <w:tab/>
        </w:r>
        <w:r w:rsidR="00D37047">
          <w:fldChar w:fldCharType="begin"/>
        </w:r>
        <w:r w:rsidR="00D37047">
          <w:instrText xml:space="preserve"> PAGEREF _Toc1864 </w:instrText>
        </w:r>
        <w:r w:rsidR="00D37047">
          <w:fldChar w:fldCharType="separate"/>
        </w:r>
        <w:r w:rsidR="00D37047">
          <w:t>30</w:t>
        </w:r>
        <w:r w:rsidR="00D37047">
          <w:fldChar w:fldCharType="end"/>
        </w:r>
      </w:hyperlink>
    </w:p>
    <w:p w:rsidR="00CE5995" w:rsidRDefault="00D37047">
      <w:pPr>
        <w:pStyle w:val="Heading1"/>
        <w:spacing w:line="360" w:lineRule="auto"/>
        <w:jc w:val="both"/>
        <w:rPr>
          <w:rFonts w:ascii="Rockwell" w:hAnsi="Rockwell" w:cs="Rockwell"/>
          <w:b/>
          <w:bCs/>
          <w:sz w:val="24"/>
          <w:szCs w:val="24"/>
        </w:rPr>
      </w:pPr>
      <w:r>
        <w:rPr>
          <w:rFonts w:ascii="Rockwell" w:hAnsi="Rockwell" w:cs="Rockwell"/>
          <w:b/>
          <w:bCs/>
          <w:sz w:val="24"/>
          <w:szCs w:val="24"/>
        </w:rPr>
        <w:fldChar w:fldCharType="end"/>
      </w:r>
      <w:bookmarkStart w:id="16" w:name="_Toc425693"/>
    </w:p>
    <w:bookmarkEnd w:id="16"/>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CE5995" w:rsidRDefault="00CE5995">
      <w:pPr>
        <w:tabs>
          <w:tab w:val="left" w:pos="720"/>
        </w:tabs>
        <w:spacing w:line="360" w:lineRule="auto"/>
        <w:jc w:val="both"/>
        <w:rPr>
          <w:rFonts w:ascii="Rockwell" w:hAnsi="Rockwell" w:cs="Rockwell"/>
          <w:sz w:val="24"/>
          <w:szCs w:val="24"/>
          <w:lang w:val="en-GB"/>
        </w:rPr>
      </w:pPr>
    </w:p>
    <w:p w:rsidR="006F0EBD" w:rsidRDefault="006F0EBD">
      <w:pPr>
        <w:tabs>
          <w:tab w:val="left" w:pos="720"/>
        </w:tabs>
        <w:spacing w:line="360" w:lineRule="auto"/>
        <w:jc w:val="both"/>
        <w:rPr>
          <w:rFonts w:ascii="Rockwell" w:hAnsi="Rockwell" w:cs="Rockwell"/>
          <w:sz w:val="24"/>
          <w:szCs w:val="24"/>
          <w:lang w:val="en-GB"/>
        </w:rPr>
      </w:pPr>
    </w:p>
    <w:p w:rsidR="006F0EBD" w:rsidRDefault="006F0EBD">
      <w:pPr>
        <w:tabs>
          <w:tab w:val="left" w:pos="720"/>
        </w:tabs>
        <w:spacing w:line="360" w:lineRule="auto"/>
        <w:jc w:val="both"/>
        <w:rPr>
          <w:rFonts w:ascii="Rockwell" w:hAnsi="Rockwell" w:cs="Rockwell"/>
          <w:sz w:val="24"/>
          <w:szCs w:val="24"/>
          <w:lang w:val="en-GB"/>
        </w:rPr>
      </w:pPr>
    </w:p>
    <w:p w:rsidR="006F0EBD" w:rsidRDefault="006F0EBD">
      <w:pPr>
        <w:tabs>
          <w:tab w:val="left" w:pos="720"/>
        </w:tabs>
        <w:spacing w:line="360" w:lineRule="auto"/>
        <w:jc w:val="both"/>
        <w:rPr>
          <w:rFonts w:ascii="Rockwell" w:hAnsi="Rockwell" w:cs="Rockwell"/>
          <w:sz w:val="24"/>
          <w:szCs w:val="24"/>
          <w:lang w:val="en-GB"/>
        </w:rPr>
      </w:pPr>
    </w:p>
    <w:p w:rsidR="006F0EBD" w:rsidRDefault="006F0EBD">
      <w:pPr>
        <w:tabs>
          <w:tab w:val="left" w:pos="720"/>
        </w:tabs>
        <w:spacing w:line="360" w:lineRule="auto"/>
        <w:jc w:val="both"/>
        <w:rPr>
          <w:rFonts w:ascii="Rockwell" w:hAnsi="Rockwell" w:cs="Rockwell"/>
          <w:sz w:val="24"/>
          <w:szCs w:val="24"/>
          <w:lang w:val="en-GB"/>
        </w:rPr>
      </w:pPr>
    </w:p>
    <w:p w:rsidR="006F0EBD" w:rsidRDefault="006F0EBD">
      <w:pPr>
        <w:tabs>
          <w:tab w:val="left" w:pos="720"/>
        </w:tabs>
        <w:spacing w:line="360" w:lineRule="auto"/>
        <w:jc w:val="both"/>
        <w:rPr>
          <w:rFonts w:ascii="Rockwell" w:hAnsi="Rockwell" w:cs="Rockwell"/>
          <w:sz w:val="24"/>
          <w:szCs w:val="24"/>
          <w:lang w:val="en-GB"/>
        </w:rPr>
      </w:pPr>
    </w:p>
    <w:p w:rsidR="00CE5995" w:rsidRDefault="00D37047">
      <w:pPr>
        <w:tabs>
          <w:tab w:val="left" w:pos="720"/>
        </w:tabs>
        <w:spacing w:line="360" w:lineRule="auto"/>
        <w:jc w:val="both"/>
        <w:outlineLvl w:val="0"/>
        <w:rPr>
          <w:rFonts w:ascii="Rockwell" w:hAnsi="Rockwell" w:cs="Rockwell"/>
          <w:b/>
          <w:sz w:val="24"/>
          <w:szCs w:val="24"/>
          <w:lang w:val="en-GB"/>
        </w:rPr>
      </w:pPr>
      <w:bookmarkStart w:id="17" w:name="_Toc19783"/>
      <w:bookmarkStart w:id="18" w:name="_Toc14447"/>
      <w:bookmarkStart w:id="19" w:name="_Toc24552"/>
      <w:r>
        <w:rPr>
          <w:rFonts w:ascii="Rockwell" w:hAnsi="Rockwell" w:cs="Rockwell"/>
          <w:b/>
          <w:sz w:val="24"/>
          <w:szCs w:val="24"/>
          <w:lang w:val="en-GB"/>
        </w:rPr>
        <w:t>ACRONYMS</w:t>
      </w:r>
      <w:bookmarkEnd w:id="17"/>
      <w:bookmarkEnd w:id="18"/>
      <w:bookmarkEnd w:id="19"/>
    </w:p>
    <w:p w:rsidR="00CE5995" w:rsidRPr="00F91551" w:rsidRDefault="00060D18" w:rsidP="00F91551">
      <w:pPr>
        <w:jc w:val="both"/>
        <w:rPr>
          <w:rFonts w:ascii="Rockwell" w:eastAsia="Times-Roman" w:hAnsi="Rockwell" w:cs="Rockwell"/>
          <w:b/>
          <w:bCs/>
          <w:sz w:val="24"/>
          <w:szCs w:val="24"/>
        </w:rPr>
      </w:pPr>
      <w:r w:rsidRPr="00F91551">
        <w:rPr>
          <w:rFonts w:ascii="Rockwell" w:eastAsia="Times-Roman" w:hAnsi="Rockwell" w:cs="Rockwell"/>
          <w:b/>
          <w:bCs/>
          <w:sz w:val="24"/>
          <w:szCs w:val="24"/>
        </w:rPr>
        <w:t>ASM – Artisanal and Small-scale Miners</w:t>
      </w:r>
    </w:p>
    <w:p w:rsidR="00E34EBE" w:rsidRPr="00F91551" w:rsidRDefault="00E34EBE" w:rsidP="00F91551">
      <w:pPr>
        <w:jc w:val="both"/>
        <w:rPr>
          <w:rFonts w:ascii="Rockwell" w:eastAsia="Times-Roman" w:hAnsi="Rockwell" w:cs="Rockwell"/>
          <w:b/>
          <w:bCs/>
          <w:sz w:val="24"/>
          <w:szCs w:val="24"/>
        </w:rPr>
      </w:pPr>
      <w:r w:rsidRPr="00F91551">
        <w:rPr>
          <w:rFonts w:ascii="Rockwell" w:eastAsia="Times-Roman" w:hAnsi="Rockwell" w:cs="Rockwell"/>
          <w:b/>
          <w:bCs/>
          <w:sz w:val="24"/>
          <w:szCs w:val="24"/>
        </w:rPr>
        <w:t>BTEX – Benzene, Toluene, Ethylbenzene, Xylene</w:t>
      </w:r>
    </w:p>
    <w:p w:rsidR="008E70A5" w:rsidRPr="00F91551" w:rsidRDefault="008E70A5" w:rsidP="00F91551">
      <w:pPr>
        <w:jc w:val="both"/>
        <w:rPr>
          <w:rFonts w:ascii="Rockwell" w:eastAsia="Times-Roman" w:hAnsi="Rockwell" w:cs="Rockwell"/>
          <w:b/>
          <w:bCs/>
          <w:sz w:val="24"/>
          <w:szCs w:val="24"/>
        </w:rPr>
      </w:pPr>
      <w:r w:rsidRPr="00F91551">
        <w:rPr>
          <w:rFonts w:ascii="Rockwell" w:eastAsia="Times-Roman" w:hAnsi="Rockwell" w:cs="Rockwell"/>
          <w:b/>
          <w:bCs/>
          <w:sz w:val="24"/>
          <w:szCs w:val="24"/>
        </w:rPr>
        <w:t xml:space="preserve">CEC – County </w:t>
      </w:r>
      <w:r w:rsidR="00F91551">
        <w:rPr>
          <w:rFonts w:ascii="Rockwell" w:eastAsia="Times-Roman" w:hAnsi="Rockwell" w:cs="Rockwell"/>
          <w:b/>
          <w:bCs/>
          <w:sz w:val="24"/>
          <w:szCs w:val="24"/>
        </w:rPr>
        <w:t xml:space="preserve">Environment </w:t>
      </w:r>
      <w:r w:rsidR="00E34EBE" w:rsidRPr="00F91551">
        <w:rPr>
          <w:rFonts w:ascii="Rockwell" w:eastAsia="Times-Roman" w:hAnsi="Rockwell" w:cs="Rockwell"/>
          <w:b/>
          <w:bCs/>
          <w:sz w:val="24"/>
          <w:szCs w:val="24"/>
        </w:rPr>
        <w:t xml:space="preserve">Committee </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COK - Constitution of Kenya, 2010</w:t>
      </w:r>
    </w:p>
    <w:p w:rsidR="00CE5995" w:rsidRPr="00F91551" w:rsidRDefault="00D37047">
      <w:pPr>
        <w:jc w:val="both"/>
        <w:rPr>
          <w:rFonts w:ascii="Rockwell" w:eastAsia="Times-Roman" w:hAnsi="Rockwell" w:cs="Rockwell"/>
          <w:b/>
          <w:bCs/>
          <w:sz w:val="24"/>
          <w:szCs w:val="24"/>
        </w:rPr>
      </w:pPr>
      <w:r w:rsidRPr="00F91551">
        <w:rPr>
          <w:rFonts w:ascii="Rockwell" w:eastAsia="Times-Roman" w:hAnsi="Rockwell" w:cs="Rockwell"/>
          <w:b/>
          <w:bCs/>
          <w:sz w:val="24"/>
          <w:szCs w:val="24"/>
        </w:rPr>
        <w:t xml:space="preserve">CSO </w:t>
      </w:r>
      <w:r w:rsidRPr="00F91551">
        <w:rPr>
          <w:rFonts w:ascii="Rockwell" w:eastAsia="Times-Roman" w:hAnsi="Rockwell" w:cs="Rockwell"/>
          <w:b/>
          <w:bCs/>
          <w:sz w:val="24"/>
          <w:szCs w:val="24"/>
        </w:rPr>
        <w:tab/>
        <w:t>- Civil Society Organizations</w:t>
      </w:r>
    </w:p>
    <w:p w:rsidR="00247710" w:rsidRDefault="00247710" w:rsidP="00247710">
      <w:pPr>
        <w:jc w:val="both"/>
        <w:rPr>
          <w:rFonts w:ascii="Rockwell" w:eastAsia="Times-Roman" w:hAnsi="Rockwell" w:cs="Rockwell"/>
          <w:b/>
          <w:bCs/>
          <w:sz w:val="24"/>
          <w:szCs w:val="24"/>
        </w:rPr>
      </w:pPr>
      <w:r>
        <w:rPr>
          <w:rFonts w:ascii="Rockwell" w:eastAsia="Times-Roman" w:hAnsi="Rockwell" w:cs="Rockwell"/>
          <w:b/>
          <w:bCs/>
          <w:sz w:val="24"/>
          <w:szCs w:val="24"/>
        </w:rPr>
        <w:t>DOM</w:t>
      </w:r>
      <w:r>
        <w:rPr>
          <w:rFonts w:ascii="Rockwell" w:eastAsia="Times-Roman" w:hAnsi="Rockwell" w:cs="Rockwell"/>
          <w:b/>
          <w:bCs/>
          <w:sz w:val="24"/>
          <w:szCs w:val="24"/>
        </w:rPr>
        <w:tab/>
        <w:t>- Directorate of Mines</w:t>
      </w:r>
    </w:p>
    <w:p w:rsidR="00247710" w:rsidRDefault="00247710" w:rsidP="00247710">
      <w:pPr>
        <w:jc w:val="both"/>
        <w:rPr>
          <w:rFonts w:ascii="Rockwell" w:eastAsia="Times-Roman" w:hAnsi="Rockwell" w:cs="Rockwell"/>
          <w:b/>
          <w:bCs/>
          <w:sz w:val="24"/>
          <w:szCs w:val="24"/>
          <w:lang w:val="en-GB"/>
        </w:rPr>
      </w:pPr>
      <w:r>
        <w:rPr>
          <w:rFonts w:ascii="Rockwell" w:eastAsia="Times-Roman" w:hAnsi="Rockwell" w:cs="Rockwell"/>
          <w:b/>
          <w:bCs/>
          <w:sz w:val="24"/>
          <w:szCs w:val="24"/>
        </w:rPr>
        <w:t>DoGS</w:t>
      </w:r>
      <w:r>
        <w:rPr>
          <w:rFonts w:ascii="Rockwell" w:eastAsia="Times-Roman" w:hAnsi="Rockwell" w:cs="Rockwell"/>
          <w:b/>
          <w:bCs/>
          <w:sz w:val="24"/>
          <w:szCs w:val="24"/>
        </w:rPr>
        <w:tab/>
        <w:t>- D</w:t>
      </w:r>
      <w:r>
        <w:rPr>
          <w:rFonts w:ascii="Rockwell" w:eastAsia="Times-Roman" w:hAnsi="Rockwell" w:cs="Rockwell"/>
          <w:b/>
          <w:bCs/>
          <w:sz w:val="24"/>
          <w:szCs w:val="24"/>
          <w:lang w:val="en-GB"/>
        </w:rPr>
        <w:t xml:space="preserve">irectorate </w:t>
      </w:r>
      <w:r>
        <w:rPr>
          <w:rFonts w:ascii="Rockwell" w:eastAsia="Times-Roman" w:hAnsi="Rockwell" w:cs="Rockwell"/>
          <w:b/>
          <w:bCs/>
          <w:sz w:val="24"/>
          <w:szCs w:val="24"/>
        </w:rPr>
        <w:t>of Geological Survey</w:t>
      </w:r>
      <w:r>
        <w:rPr>
          <w:rFonts w:ascii="Rockwell" w:eastAsia="Times-Roman" w:hAnsi="Rockwell" w:cs="Rockwell"/>
          <w:b/>
          <w:bCs/>
          <w:sz w:val="24"/>
          <w:szCs w:val="24"/>
          <w:lang w:val="en-GB"/>
        </w:rPr>
        <w:t>s</w:t>
      </w:r>
    </w:p>
    <w:p w:rsidR="00247710" w:rsidRDefault="00247710" w:rsidP="00247710">
      <w:pPr>
        <w:jc w:val="both"/>
        <w:rPr>
          <w:rFonts w:ascii="Rockwell" w:eastAsia="Times-Roman" w:hAnsi="Rockwell" w:cs="Rockwell"/>
          <w:b/>
          <w:bCs/>
          <w:sz w:val="24"/>
          <w:szCs w:val="24"/>
        </w:rPr>
      </w:pPr>
      <w:r>
        <w:rPr>
          <w:rFonts w:ascii="Rockwell" w:eastAsia="Times-Roman" w:hAnsi="Rockwell" w:cs="Rockwell"/>
          <w:b/>
          <w:bCs/>
          <w:sz w:val="24"/>
          <w:szCs w:val="24"/>
        </w:rPr>
        <w:t>DoMP&amp;VA</w:t>
      </w:r>
      <w:r>
        <w:rPr>
          <w:rFonts w:ascii="Rockwell" w:eastAsia="Times-Roman" w:hAnsi="Rockwell" w:cs="Rockwell"/>
          <w:b/>
          <w:bCs/>
          <w:sz w:val="24"/>
          <w:szCs w:val="24"/>
        </w:rPr>
        <w:tab/>
        <w:t>D</w:t>
      </w:r>
      <w:r>
        <w:rPr>
          <w:rFonts w:ascii="Rockwell" w:eastAsia="Times-Roman" w:hAnsi="Rockwell" w:cs="Rockwell"/>
          <w:b/>
          <w:bCs/>
          <w:sz w:val="24"/>
          <w:szCs w:val="24"/>
          <w:lang w:val="en-GB"/>
        </w:rPr>
        <w:t>irectorate</w:t>
      </w:r>
      <w:r>
        <w:rPr>
          <w:rFonts w:ascii="Rockwell" w:eastAsia="Times-Roman" w:hAnsi="Rockwell" w:cs="Rockwell"/>
          <w:b/>
          <w:bCs/>
          <w:sz w:val="24"/>
          <w:szCs w:val="24"/>
        </w:rPr>
        <w:t xml:space="preserve"> of Mineral Pro</w:t>
      </w:r>
      <w:r>
        <w:rPr>
          <w:rFonts w:ascii="Rockwell" w:eastAsia="Times-Roman" w:hAnsi="Rockwell" w:cs="Rockwell"/>
          <w:b/>
          <w:bCs/>
          <w:sz w:val="24"/>
          <w:szCs w:val="24"/>
          <w:lang w:val="en-GB"/>
        </w:rPr>
        <w:t xml:space="preserve">motion </w:t>
      </w:r>
      <w:r>
        <w:rPr>
          <w:rFonts w:ascii="Rockwell" w:eastAsia="Times-Roman" w:hAnsi="Rockwell" w:cs="Rockwell"/>
          <w:b/>
          <w:bCs/>
          <w:sz w:val="24"/>
          <w:szCs w:val="24"/>
        </w:rPr>
        <w:t>and Value Addition</w:t>
      </w:r>
    </w:p>
    <w:p w:rsidR="00083F4B" w:rsidRDefault="00083F4B" w:rsidP="00247710">
      <w:pPr>
        <w:jc w:val="both"/>
        <w:rPr>
          <w:rFonts w:ascii="Rockwell" w:eastAsia="Times-Roman" w:hAnsi="Rockwell" w:cs="Rockwell"/>
          <w:b/>
          <w:bCs/>
          <w:sz w:val="24"/>
          <w:szCs w:val="24"/>
        </w:rPr>
      </w:pPr>
      <w:r>
        <w:rPr>
          <w:rFonts w:ascii="Rockwell" w:eastAsia="Times-Roman" w:hAnsi="Rockwell" w:cs="Rockwell"/>
          <w:b/>
          <w:bCs/>
          <w:sz w:val="24"/>
          <w:szCs w:val="24"/>
        </w:rPr>
        <w:t>DOSHS – Directorate of Occupational Health and Safety Services</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EA - Environmental Audit</w:t>
      </w:r>
    </w:p>
    <w:p w:rsidR="008E70A5" w:rsidRDefault="008E70A5">
      <w:pPr>
        <w:jc w:val="both"/>
        <w:rPr>
          <w:rFonts w:ascii="Rockwell" w:eastAsia="Times-Roman" w:hAnsi="Rockwell" w:cs="Rockwell"/>
          <w:b/>
          <w:bCs/>
          <w:sz w:val="24"/>
          <w:szCs w:val="24"/>
        </w:rPr>
      </w:pPr>
      <w:r>
        <w:rPr>
          <w:rFonts w:ascii="Rockwell" w:eastAsia="Times-Roman" w:hAnsi="Rockwell" w:cs="Rockwell"/>
          <w:b/>
          <w:bCs/>
          <w:sz w:val="24"/>
          <w:szCs w:val="24"/>
        </w:rPr>
        <w:t>ELC – Environment and Lands Court</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EMCA - Environmental Management and Coordination Act, 1999</w:t>
      </w:r>
    </w:p>
    <w:p w:rsidR="0015246B" w:rsidRPr="0015246B" w:rsidRDefault="0015246B" w:rsidP="0015246B">
      <w:pPr>
        <w:jc w:val="both"/>
        <w:rPr>
          <w:rFonts w:ascii="Rockwell" w:hAnsi="Rockwell" w:cs="Rockwell"/>
          <w:b/>
          <w:sz w:val="24"/>
          <w:szCs w:val="24"/>
        </w:rPr>
      </w:pPr>
      <w:r w:rsidRPr="0015246B">
        <w:rPr>
          <w:rFonts w:ascii="Rockwell" w:hAnsi="Rockwell" w:cs="Rockwell"/>
          <w:b/>
          <w:sz w:val="24"/>
          <w:szCs w:val="24"/>
        </w:rPr>
        <w:t xml:space="preserve">ESIA - Environmental and Social Impact Assessment, </w:t>
      </w:r>
    </w:p>
    <w:p w:rsidR="0015246B" w:rsidRPr="0015246B" w:rsidRDefault="0015246B" w:rsidP="0015246B">
      <w:pPr>
        <w:jc w:val="both"/>
        <w:rPr>
          <w:rFonts w:ascii="Rockwell" w:eastAsia="Times-Roman" w:hAnsi="Rockwell" w:cs="Rockwell"/>
          <w:b/>
          <w:bCs/>
          <w:sz w:val="24"/>
          <w:szCs w:val="24"/>
        </w:rPr>
      </w:pPr>
      <w:r w:rsidRPr="0015246B">
        <w:rPr>
          <w:rFonts w:ascii="Rockwell" w:hAnsi="Rockwell" w:cs="Rockwell"/>
          <w:b/>
          <w:sz w:val="24"/>
          <w:szCs w:val="24"/>
        </w:rPr>
        <w:t xml:space="preserve">ESMPs - Environmental and Social Management Plans </w:t>
      </w:r>
    </w:p>
    <w:p w:rsidR="00813766" w:rsidRDefault="00813766">
      <w:pPr>
        <w:jc w:val="both"/>
        <w:rPr>
          <w:rFonts w:ascii="Rockwell" w:eastAsia="Times-Roman" w:hAnsi="Rockwell" w:cs="Rockwell"/>
          <w:b/>
          <w:bCs/>
          <w:sz w:val="24"/>
          <w:szCs w:val="24"/>
        </w:rPr>
      </w:pPr>
      <w:r>
        <w:rPr>
          <w:rFonts w:ascii="Rockwell" w:eastAsia="Times-Roman" w:hAnsi="Rockwell" w:cs="Rockwell"/>
          <w:b/>
          <w:bCs/>
          <w:sz w:val="24"/>
          <w:szCs w:val="24"/>
        </w:rPr>
        <w:t xml:space="preserve">KFS – Kenya Forest Services </w:t>
      </w:r>
    </w:p>
    <w:p w:rsidR="00813766" w:rsidRDefault="00813766">
      <w:pPr>
        <w:jc w:val="both"/>
        <w:rPr>
          <w:rFonts w:ascii="Rockwell" w:eastAsia="Times-Roman" w:hAnsi="Rockwell" w:cs="Rockwell"/>
          <w:b/>
          <w:bCs/>
          <w:sz w:val="24"/>
          <w:szCs w:val="24"/>
        </w:rPr>
      </w:pPr>
      <w:r>
        <w:rPr>
          <w:rFonts w:ascii="Rockwell" w:eastAsia="Times-Roman" w:hAnsi="Rockwell" w:cs="Rockwell"/>
          <w:b/>
          <w:bCs/>
          <w:sz w:val="24"/>
          <w:szCs w:val="24"/>
        </w:rPr>
        <w:t>KWS – Kenya Wildlife Services</w:t>
      </w:r>
    </w:p>
    <w:p w:rsidR="00813766" w:rsidRDefault="00813766">
      <w:pPr>
        <w:jc w:val="both"/>
        <w:rPr>
          <w:rFonts w:ascii="Rockwell" w:eastAsia="Times-Roman" w:hAnsi="Rockwell" w:cs="Rockwell"/>
          <w:b/>
          <w:bCs/>
          <w:sz w:val="24"/>
          <w:szCs w:val="24"/>
        </w:rPr>
      </w:pPr>
      <w:r>
        <w:rPr>
          <w:rFonts w:ascii="Rockwell" w:eastAsia="Times-Roman" w:hAnsi="Rockwell" w:cs="Rockwell"/>
          <w:b/>
          <w:bCs/>
          <w:sz w:val="24"/>
          <w:szCs w:val="24"/>
        </w:rPr>
        <w:t xml:space="preserve">KNCHR – Kenya National Commission on Human Rights </w:t>
      </w:r>
    </w:p>
    <w:p w:rsidR="00060D18" w:rsidRDefault="004D7143">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MCDAs</w:t>
      </w:r>
      <w:r w:rsidR="00060D18">
        <w:rPr>
          <w:rFonts w:ascii="Rockwell" w:eastAsia="Times-Roman" w:hAnsi="Rockwell" w:cs="Rockwell"/>
          <w:b/>
          <w:bCs/>
          <w:sz w:val="24"/>
          <w:szCs w:val="24"/>
          <w:lang w:val="en-GB"/>
        </w:rPr>
        <w:t xml:space="preserve"> – Ministries, Departments, Counties and Agencies</w:t>
      </w:r>
    </w:p>
    <w:p w:rsidR="001A1FC0" w:rsidRPr="001A1FC0" w:rsidRDefault="001A1FC0">
      <w:pPr>
        <w:jc w:val="both"/>
        <w:rPr>
          <w:rFonts w:ascii="Rockwell" w:eastAsia="Times-Roman" w:hAnsi="Rockwell" w:cs="Rockwell"/>
          <w:b/>
          <w:bCs/>
          <w:sz w:val="24"/>
          <w:szCs w:val="24"/>
          <w:lang w:val="en-GB"/>
        </w:rPr>
      </w:pPr>
      <w:r w:rsidRPr="001A1FC0">
        <w:rPr>
          <w:rFonts w:ascii="Rockwell" w:hAnsi="Rockwell" w:cs="Rockwell"/>
          <w:b/>
          <w:bCs/>
        </w:rPr>
        <w:t xml:space="preserve">MOH  - Ministry of Health </w:t>
      </w:r>
    </w:p>
    <w:p w:rsidR="0066074B" w:rsidRDefault="0066074B" w:rsidP="0066074B">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NECC – National Environment Complaints Committee</w:t>
      </w:r>
    </w:p>
    <w:p w:rsidR="00CE5995" w:rsidRDefault="001A6076">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 xml:space="preserve">NEMA </w:t>
      </w:r>
      <w:r w:rsidR="00D37047">
        <w:rPr>
          <w:rFonts w:ascii="Rockwell" w:eastAsia="Times-Roman" w:hAnsi="Rockwell" w:cs="Rockwell"/>
          <w:b/>
          <w:bCs/>
          <w:sz w:val="24"/>
          <w:szCs w:val="24"/>
          <w:lang w:val="en-GB"/>
        </w:rPr>
        <w:t>- National Environment Management Authority</w:t>
      </w:r>
    </w:p>
    <w:p w:rsidR="0066074B" w:rsidRDefault="0066074B">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 xml:space="preserve">NET – National Environment Tribunal </w:t>
      </w:r>
    </w:p>
    <w:p w:rsidR="0066074B" w:rsidRDefault="0066074B">
      <w:pPr>
        <w:jc w:val="both"/>
        <w:rPr>
          <w:rFonts w:ascii="Rockwell" w:eastAsia="Times-Roman" w:hAnsi="Rockwell" w:cs="Rockwell"/>
          <w:b/>
          <w:bCs/>
          <w:sz w:val="24"/>
          <w:szCs w:val="24"/>
          <w:lang w:val="en-GB"/>
        </w:rPr>
      </w:pPr>
      <w:r>
        <w:rPr>
          <w:rFonts w:ascii="Rockwell" w:eastAsia="Times-Roman" w:hAnsi="Rockwell" w:cs="Rockwell"/>
          <w:b/>
          <w:bCs/>
          <w:sz w:val="24"/>
          <w:szCs w:val="24"/>
          <w:lang w:val="en-GB"/>
        </w:rPr>
        <w:t>NETFUND – National Environment Trust Fund</w:t>
      </w:r>
    </w:p>
    <w:p w:rsidR="0066074B" w:rsidRDefault="0066074B">
      <w:pPr>
        <w:jc w:val="both"/>
        <w:rPr>
          <w:rFonts w:ascii="Rockwell" w:eastAsia="Times-Roman" w:hAnsi="Rockwell" w:cs="Rockwell"/>
          <w:b/>
          <w:bCs/>
          <w:sz w:val="24"/>
          <w:szCs w:val="24"/>
        </w:rPr>
      </w:pPr>
      <w:r>
        <w:rPr>
          <w:rFonts w:ascii="Rockwell" w:eastAsia="Times-Roman" w:hAnsi="Rockwell" w:cs="Rockwell"/>
          <w:b/>
          <w:bCs/>
          <w:sz w:val="24"/>
          <w:szCs w:val="24"/>
          <w:lang w:val="en-GB"/>
        </w:rPr>
        <w:t>NLC – National Land Commission</w:t>
      </w:r>
    </w:p>
    <w:p w:rsidR="00247710" w:rsidRDefault="00247710">
      <w:pPr>
        <w:jc w:val="both"/>
        <w:rPr>
          <w:rFonts w:ascii="Rockwell" w:eastAsia="Times-Roman" w:hAnsi="Rockwell" w:cs="Rockwell"/>
          <w:b/>
          <w:bCs/>
          <w:sz w:val="24"/>
          <w:szCs w:val="24"/>
          <w:lang w:val="en-GB"/>
        </w:rPr>
      </w:pPr>
      <w:r>
        <w:rPr>
          <w:rFonts w:ascii="Rockwell" w:hAnsi="Rockwell" w:cs="Rockwell"/>
          <w:bCs/>
          <w:lang w:val="en-GB"/>
        </w:rPr>
        <w:t xml:space="preserve">NMC - </w:t>
      </w:r>
      <w:r>
        <w:rPr>
          <w:rFonts w:ascii="Rockwell" w:eastAsia="Times-Roman" w:hAnsi="Rockwell" w:cs="Rockwell"/>
          <w:b/>
          <w:bCs/>
          <w:sz w:val="24"/>
          <w:szCs w:val="24"/>
          <w:lang w:val="en-GB"/>
        </w:rPr>
        <w:t>National Mining Corporation</w:t>
      </w:r>
    </w:p>
    <w:p w:rsidR="0015246B" w:rsidRDefault="0015246B">
      <w:pPr>
        <w:jc w:val="both"/>
        <w:rPr>
          <w:rFonts w:ascii="Rockwell" w:eastAsia="Times-Roman" w:hAnsi="Rockwell" w:cs="Rockwell"/>
          <w:b/>
          <w:bCs/>
          <w:sz w:val="24"/>
          <w:szCs w:val="24"/>
        </w:rPr>
      </w:pPr>
      <w:r>
        <w:rPr>
          <w:rFonts w:ascii="Rockwell" w:eastAsia="Times-Roman" w:hAnsi="Rockwell" w:cs="Rockwell"/>
          <w:b/>
          <w:bCs/>
          <w:sz w:val="24"/>
          <w:szCs w:val="24"/>
          <w:lang w:val="en-GB"/>
        </w:rPr>
        <w:t>NORMs – Naturally occurring radioactive material</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 xml:space="preserve">PAPs - Project Affected Persons  </w:t>
      </w:r>
    </w:p>
    <w:p w:rsidR="00FE4826" w:rsidRPr="00FE4826" w:rsidRDefault="00FE4826">
      <w:pPr>
        <w:jc w:val="both"/>
        <w:rPr>
          <w:rFonts w:ascii="Rockwell" w:eastAsia="Times-Roman" w:hAnsi="Rockwell" w:cs="Rockwell"/>
          <w:b/>
          <w:bCs/>
          <w:sz w:val="24"/>
          <w:szCs w:val="24"/>
        </w:rPr>
      </w:pPr>
      <w:r w:rsidRPr="00FE4826">
        <w:rPr>
          <w:rFonts w:ascii="Rockwell" w:hAnsi="Rockwell" w:cs="Rockwell"/>
          <w:b/>
          <w:sz w:val="24"/>
          <w:szCs w:val="24"/>
        </w:rPr>
        <w:t>PPP - Polluter-Pays Principle</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PPEs - Personal Protective Equipment</w:t>
      </w:r>
    </w:p>
    <w:p w:rsidR="00CE5995" w:rsidRDefault="00D37047">
      <w:pPr>
        <w:jc w:val="both"/>
        <w:rPr>
          <w:rFonts w:ascii="Rockwell" w:eastAsia="Times-Roman" w:hAnsi="Rockwell" w:cs="Rockwell"/>
          <w:b/>
          <w:bCs/>
          <w:sz w:val="24"/>
          <w:szCs w:val="24"/>
        </w:rPr>
      </w:pPr>
      <w:r>
        <w:rPr>
          <w:rFonts w:ascii="Rockwell" w:eastAsia="Times-Roman" w:hAnsi="Rockwell" w:cs="Rockwell"/>
          <w:b/>
          <w:bCs/>
          <w:sz w:val="24"/>
          <w:szCs w:val="24"/>
        </w:rPr>
        <w:t>PTC - Project Technical Committee</w:t>
      </w:r>
    </w:p>
    <w:p w:rsidR="00E34EBE" w:rsidRDefault="00E34EBE">
      <w:pPr>
        <w:jc w:val="both"/>
        <w:rPr>
          <w:rFonts w:ascii="Rockwell" w:eastAsia="Times-Roman" w:hAnsi="Rockwell" w:cs="Rockwell"/>
          <w:b/>
          <w:bCs/>
          <w:sz w:val="24"/>
          <w:szCs w:val="24"/>
        </w:rPr>
      </w:pPr>
      <w:r>
        <w:rPr>
          <w:rFonts w:ascii="Rockwell" w:eastAsia="Times-Roman" w:hAnsi="Rockwell" w:cs="Rockwell"/>
          <w:b/>
          <w:bCs/>
          <w:sz w:val="24"/>
          <w:szCs w:val="24"/>
        </w:rPr>
        <w:t>TPH – Total Petroleum Hydrocarbons</w:t>
      </w:r>
    </w:p>
    <w:p w:rsidR="00CE3F54" w:rsidRDefault="00CE3F54">
      <w:pPr>
        <w:jc w:val="both"/>
        <w:rPr>
          <w:rFonts w:ascii="Rockwell" w:eastAsia="Times-Roman" w:hAnsi="Rockwell" w:cs="Rockwell"/>
          <w:b/>
          <w:bCs/>
          <w:sz w:val="24"/>
          <w:szCs w:val="24"/>
        </w:rPr>
      </w:pPr>
      <w:r>
        <w:rPr>
          <w:rFonts w:ascii="Rockwell" w:eastAsia="Times-Roman" w:hAnsi="Rockwell" w:cs="Rockwell"/>
          <w:b/>
          <w:bCs/>
          <w:sz w:val="24"/>
          <w:szCs w:val="24"/>
        </w:rPr>
        <w:t xml:space="preserve">TSF </w:t>
      </w:r>
      <w:r>
        <w:rPr>
          <w:rFonts w:ascii="Rockwell" w:eastAsia="Times-Roman" w:hAnsi="Rockwell" w:cs="Rockwell"/>
          <w:b/>
          <w:bCs/>
          <w:sz w:val="24"/>
          <w:szCs w:val="24"/>
        </w:rPr>
        <w:tab/>
        <w:t>- Tailings Storage Facility</w:t>
      </w:r>
    </w:p>
    <w:p w:rsidR="005001B4" w:rsidRDefault="005001B4">
      <w:pPr>
        <w:jc w:val="both"/>
        <w:rPr>
          <w:rFonts w:ascii="Rockwell" w:eastAsia="Times-Roman" w:hAnsi="Rockwell" w:cs="Rockwell"/>
          <w:b/>
          <w:bCs/>
          <w:sz w:val="24"/>
          <w:szCs w:val="24"/>
        </w:rPr>
      </w:pPr>
      <w:r>
        <w:rPr>
          <w:rFonts w:ascii="Rockwell" w:eastAsia="Times-Roman" w:hAnsi="Rockwell" w:cs="Rockwell"/>
          <w:b/>
          <w:bCs/>
          <w:sz w:val="24"/>
          <w:szCs w:val="24"/>
        </w:rPr>
        <w:t>WRA – Water Resources Authority</w:t>
      </w:r>
    </w:p>
    <w:p w:rsidR="00CE5995" w:rsidRDefault="00CE5995">
      <w:pPr>
        <w:tabs>
          <w:tab w:val="left" w:pos="720"/>
        </w:tabs>
        <w:spacing w:line="360" w:lineRule="auto"/>
        <w:jc w:val="both"/>
        <w:rPr>
          <w:rFonts w:ascii="Rockwell" w:hAnsi="Rockwell" w:cs="Rockwell"/>
          <w:sz w:val="24"/>
          <w:szCs w:val="24"/>
          <w:lang w:val="en-GB"/>
        </w:rPr>
      </w:pPr>
    </w:p>
    <w:p w:rsidR="00326C68" w:rsidRDefault="00326C68">
      <w:pPr>
        <w:tabs>
          <w:tab w:val="left" w:pos="720"/>
        </w:tabs>
        <w:spacing w:line="360" w:lineRule="auto"/>
        <w:jc w:val="both"/>
        <w:rPr>
          <w:rFonts w:ascii="Rockwell" w:hAnsi="Rockwell" w:cs="Rockwell"/>
          <w:sz w:val="24"/>
          <w:szCs w:val="24"/>
          <w:lang w:val="en-GB"/>
        </w:rPr>
      </w:pPr>
    </w:p>
    <w:p w:rsidR="00326C68" w:rsidRDefault="00326C68">
      <w:pPr>
        <w:tabs>
          <w:tab w:val="left" w:pos="720"/>
        </w:tabs>
        <w:spacing w:line="360" w:lineRule="auto"/>
        <w:jc w:val="both"/>
        <w:rPr>
          <w:rFonts w:ascii="Rockwell" w:hAnsi="Rockwell" w:cs="Rockwell"/>
          <w:sz w:val="24"/>
          <w:szCs w:val="24"/>
          <w:lang w:val="en-GB"/>
        </w:rPr>
      </w:pPr>
    </w:p>
    <w:p w:rsidR="00326C68" w:rsidRDefault="00326C68">
      <w:pPr>
        <w:tabs>
          <w:tab w:val="left" w:pos="720"/>
        </w:tabs>
        <w:spacing w:line="360" w:lineRule="auto"/>
        <w:jc w:val="both"/>
        <w:rPr>
          <w:rFonts w:ascii="Rockwell" w:hAnsi="Rockwell" w:cs="Rockwell"/>
          <w:sz w:val="24"/>
          <w:szCs w:val="24"/>
          <w:lang w:val="en-GB"/>
        </w:rPr>
      </w:pPr>
    </w:p>
    <w:p w:rsidR="00326C68" w:rsidRDefault="00326C68">
      <w:pPr>
        <w:tabs>
          <w:tab w:val="left" w:pos="720"/>
        </w:tabs>
        <w:spacing w:line="360" w:lineRule="auto"/>
        <w:jc w:val="both"/>
        <w:rPr>
          <w:rFonts w:ascii="Rockwell" w:hAnsi="Rockwell" w:cs="Rockwell"/>
          <w:sz w:val="24"/>
          <w:szCs w:val="24"/>
          <w:lang w:val="en-GB"/>
        </w:rPr>
      </w:pPr>
    </w:p>
    <w:p w:rsidR="004D466C" w:rsidRDefault="004D466C">
      <w:pPr>
        <w:pStyle w:val="Heading1"/>
        <w:spacing w:line="360" w:lineRule="auto"/>
        <w:jc w:val="both"/>
        <w:rPr>
          <w:rFonts w:ascii="Rockwell" w:hAnsi="Rockwell" w:cs="Rockwell"/>
          <w:b/>
          <w:color w:val="auto"/>
          <w:sz w:val="24"/>
          <w:szCs w:val="24"/>
        </w:rPr>
      </w:pPr>
      <w:bookmarkStart w:id="20" w:name="_Toc425694"/>
      <w:bookmarkStart w:id="21" w:name="_Toc14154"/>
      <w:bookmarkStart w:id="22" w:name="_Toc3515"/>
      <w:bookmarkStart w:id="23" w:name="_Toc13181"/>
    </w:p>
    <w:p w:rsidR="00CE5995" w:rsidRDefault="00D37047">
      <w:pPr>
        <w:pStyle w:val="Heading1"/>
        <w:spacing w:line="360" w:lineRule="auto"/>
        <w:jc w:val="both"/>
        <w:rPr>
          <w:rFonts w:ascii="Rockwell" w:hAnsi="Rockwell" w:cs="Rockwell"/>
          <w:b/>
          <w:color w:val="auto"/>
          <w:sz w:val="24"/>
          <w:szCs w:val="24"/>
        </w:rPr>
      </w:pPr>
      <w:r>
        <w:rPr>
          <w:rFonts w:ascii="Rockwell" w:hAnsi="Rockwell" w:cs="Rockwell"/>
          <w:b/>
          <w:color w:val="auto"/>
          <w:sz w:val="24"/>
          <w:szCs w:val="24"/>
        </w:rPr>
        <w:t>DEFINITION OF TERMS</w:t>
      </w:r>
      <w:bookmarkEnd w:id="20"/>
      <w:bookmarkEnd w:id="21"/>
      <w:bookmarkEnd w:id="22"/>
      <w:bookmarkEnd w:id="23"/>
      <w:r>
        <w:rPr>
          <w:rFonts w:ascii="Rockwell" w:hAnsi="Rockwell" w:cs="Rockwell"/>
          <w:b/>
          <w:color w:val="auto"/>
          <w:sz w:val="24"/>
          <w:szCs w:val="24"/>
        </w:rPr>
        <w:t xml:space="preserve">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Abandoned mine site</w:t>
      </w:r>
      <w:r>
        <w:rPr>
          <w:rFonts w:ascii="Rockwell" w:hAnsi="Rockwell" w:cs="Rockwell"/>
          <w:sz w:val="24"/>
          <w:szCs w:val="24"/>
        </w:rPr>
        <w:t xml:space="preserve"> - Non-operational mines where mining tenure no longer exists and the responsibility for rehabilitation cannot be allocated to any individual, company or organization responsible for the mining activities. Such sites are also called “derelict”, “orphan” or “former” mines.</w:t>
      </w:r>
    </w:p>
    <w:p w:rsidR="006F0EBD" w:rsidRDefault="006F0EBD">
      <w:pPr>
        <w:spacing w:line="360" w:lineRule="auto"/>
        <w:jc w:val="both"/>
        <w:rPr>
          <w:rFonts w:ascii="Rockwell" w:hAnsi="Rockwell" w:cs="Rockwell"/>
          <w:sz w:val="24"/>
          <w:szCs w:val="24"/>
        </w:rPr>
      </w:pPr>
    </w:p>
    <w:p w:rsidR="00C27F93" w:rsidRDefault="006F0EBD">
      <w:pPr>
        <w:spacing w:line="360" w:lineRule="auto"/>
        <w:jc w:val="both"/>
        <w:rPr>
          <w:rFonts w:ascii="Rockwell" w:hAnsi="Rockwell" w:cs="Rockwell"/>
          <w:sz w:val="24"/>
          <w:szCs w:val="24"/>
        </w:rPr>
      </w:pPr>
      <w:r w:rsidRPr="006F0EBD">
        <w:rPr>
          <w:rFonts w:ascii="Rockwell" w:hAnsi="Rockwell" w:cs="Rockwell"/>
          <w:b/>
          <w:sz w:val="24"/>
          <w:szCs w:val="24"/>
        </w:rPr>
        <w:t>Authority</w:t>
      </w:r>
      <w:r>
        <w:rPr>
          <w:rFonts w:ascii="Rockwell" w:hAnsi="Rockwell" w:cs="Rockwell"/>
          <w:sz w:val="24"/>
          <w:szCs w:val="24"/>
        </w:rPr>
        <w:t xml:space="preserve"> –</w:t>
      </w:r>
      <w:r w:rsidR="00FB3C2D">
        <w:rPr>
          <w:rFonts w:ascii="Rockwell" w:hAnsi="Rockwell" w:cs="Rockwell"/>
          <w:sz w:val="24"/>
          <w:szCs w:val="24"/>
        </w:rPr>
        <w:t xml:space="preserve"> M</w:t>
      </w:r>
      <w:r>
        <w:rPr>
          <w:rFonts w:ascii="Rockwell" w:hAnsi="Rockwell" w:cs="Rockwell"/>
          <w:sz w:val="24"/>
          <w:szCs w:val="24"/>
        </w:rPr>
        <w:t xml:space="preserve">eans the National Environment Management Authority </w:t>
      </w:r>
      <w:r w:rsidR="00FB3C2D">
        <w:rPr>
          <w:rFonts w:ascii="Rockwell" w:hAnsi="Rockwell" w:cs="Rockwell"/>
          <w:sz w:val="24"/>
          <w:szCs w:val="24"/>
        </w:rPr>
        <w:t xml:space="preserve">(NEMA) </w:t>
      </w:r>
      <w:r>
        <w:rPr>
          <w:rFonts w:ascii="Rockwell" w:hAnsi="Rockwell" w:cs="Rockwell"/>
          <w:sz w:val="24"/>
          <w:szCs w:val="24"/>
        </w:rPr>
        <w:t>established under section 7 of Environmental Management and Coordination Act, 1999</w:t>
      </w:r>
      <w:r w:rsidR="00FB3C2D">
        <w:rPr>
          <w:rFonts w:ascii="Rockwell" w:hAnsi="Rockwell" w:cs="Rockwell"/>
          <w:sz w:val="24"/>
          <w:szCs w:val="24"/>
        </w:rPr>
        <w:t>.</w:t>
      </w:r>
    </w:p>
    <w:p w:rsidR="006F0EBD" w:rsidRDefault="006F0EBD">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lang w:val="en-GB"/>
        </w:rPr>
      </w:pPr>
      <w:r>
        <w:rPr>
          <w:rFonts w:ascii="Rockwell" w:hAnsi="Rockwell" w:cs="Rockwell"/>
          <w:b/>
          <w:bCs/>
          <w:sz w:val="24"/>
          <w:szCs w:val="24"/>
          <w:lang w:val="en-GB"/>
        </w:rPr>
        <w:t xml:space="preserve">Beneficiation- </w:t>
      </w:r>
      <w:r>
        <w:rPr>
          <w:rFonts w:ascii="Rockwell" w:hAnsi="Rockwell" w:cs="Rockwell"/>
          <w:sz w:val="24"/>
          <w:szCs w:val="24"/>
          <w:lang w:val="en-GB"/>
        </w:rPr>
        <w:t>It is any process that improves or benefits the econom</w:t>
      </w:r>
      <w:r w:rsidR="00055E63">
        <w:rPr>
          <w:rFonts w:ascii="Rockwell" w:hAnsi="Rockwell" w:cs="Rockwell"/>
          <w:sz w:val="24"/>
          <w:szCs w:val="24"/>
          <w:lang w:val="en-GB"/>
        </w:rPr>
        <w:t>ic</w:t>
      </w:r>
      <w:r>
        <w:rPr>
          <w:rFonts w:ascii="Rockwell" w:hAnsi="Rockwell" w:cs="Rockwell"/>
          <w:sz w:val="24"/>
          <w:szCs w:val="24"/>
          <w:lang w:val="en-GB"/>
        </w:rPr>
        <w:t xml:space="preserve"> value of the ore by removing the gangue (commercially valueless material) minerals which results in a higher grade product or concentrate and a waste stream or tailings</w:t>
      </w:r>
      <w:r w:rsidR="00C27F93">
        <w:rPr>
          <w:rFonts w:ascii="Rockwell" w:hAnsi="Rockwell" w:cs="Rockwell"/>
          <w:sz w:val="24"/>
          <w:szCs w:val="24"/>
          <w:lang w:val="en-GB"/>
        </w:rPr>
        <w:t>.</w:t>
      </w:r>
    </w:p>
    <w:p w:rsidR="00C27F93" w:rsidRDefault="00C27F93">
      <w:pPr>
        <w:spacing w:line="360" w:lineRule="auto"/>
        <w:jc w:val="both"/>
        <w:rPr>
          <w:rFonts w:ascii="Rockwell" w:hAnsi="Rockwell" w:cs="Rockwell"/>
          <w:sz w:val="24"/>
          <w:szCs w:val="24"/>
          <w:lang w:val="en-GB"/>
        </w:rPr>
      </w:pPr>
    </w:p>
    <w:p w:rsidR="009C21B8" w:rsidRDefault="009C21B8" w:rsidP="00C27F93">
      <w:pPr>
        <w:spacing w:line="360" w:lineRule="auto"/>
        <w:jc w:val="both"/>
        <w:rPr>
          <w:rFonts w:ascii="Rockwell" w:hAnsi="Rockwell" w:cs="Rockwell"/>
          <w:bCs/>
          <w:sz w:val="24"/>
          <w:szCs w:val="24"/>
          <w:lang w:val="en-GB"/>
        </w:rPr>
      </w:pPr>
      <w:r w:rsidRPr="00C27F93">
        <w:rPr>
          <w:rFonts w:ascii="Rockwell" w:hAnsi="Rockwell" w:cs="Rockwell"/>
          <w:b/>
          <w:bCs/>
          <w:sz w:val="24"/>
          <w:szCs w:val="24"/>
          <w:lang w:val="en-GB"/>
        </w:rPr>
        <w:t xml:space="preserve">“Biological Diversity” </w:t>
      </w:r>
      <w:r w:rsidRPr="00C27F93">
        <w:rPr>
          <w:rFonts w:ascii="Rockwell" w:hAnsi="Rockwell" w:cs="Rockwell"/>
          <w:bCs/>
          <w:sz w:val="24"/>
          <w:szCs w:val="24"/>
          <w:lang w:val="en-GB"/>
        </w:rPr>
        <w:t>means the variability among living organisms from</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all sources including, terrestrial ecosystems, aquatic ecosystems and the</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ecological complexes of which they are part; this includes diversity within</w:t>
      </w:r>
      <w:r w:rsidR="00C27F93">
        <w:rPr>
          <w:rFonts w:ascii="Rockwell" w:hAnsi="Rockwell" w:cs="Rockwell"/>
          <w:bCs/>
          <w:sz w:val="24"/>
          <w:szCs w:val="24"/>
          <w:lang w:val="en-GB"/>
        </w:rPr>
        <w:t xml:space="preserve"> </w:t>
      </w:r>
      <w:r w:rsidRPr="00C27F93">
        <w:rPr>
          <w:rFonts w:ascii="Rockwell" w:hAnsi="Rockwell" w:cs="Rockwell"/>
          <w:bCs/>
          <w:sz w:val="24"/>
          <w:szCs w:val="24"/>
          <w:lang w:val="en-GB"/>
        </w:rPr>
        <w:t>species, among species and of ecosystems.</w:t>
      </w:r>
    </w:p>
    <w:p w:rsidR="00C27F93" w:rsidRPr="00C27F93" w:rsidRDefault="00C27F93" w:rsidP="00C27F93">
      <w:pPr>
        <w:spacing w:line="360" w:lineRule="auto"/>
        <w:jc w:val="both"/>
        <w:rPr>
          <w:rFonts w:ascii="Rockwell" w:hAnsi="Rockwell" w:cs="Rockwell"/>
          <w:bCs/>
          <w:sz w:val="24"/>
          <w:szCs w:val="24"/>
          <w:lang w:val="en-GB"/>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Boundary of a landform</w:t>
      </w:r>
      <w:r>
        <w:rPr>
          <w:rFonts w:ascii="Rockwell" w:hAnsi="Rockwell" w:cs="Rockwell"/>
          <w:sz w:val="24"/>
          <w:szCs w:val="24"/>
        </w:rPr>
        <w:t xml:space="preserve"> - The edge of a landform is taken as being the base of the slope. This may be the battered footprint or the non-battered footprint. The footprint must not exceed the area specified in approval documentation.</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Closure</w:t>
      </w:r>
      <w:r>
        <w:rPr>
          <w:rFonts w:ascii="Rockwell" w:hAnsi="Rockwell" w:cs="Rockwell"/>
          <w:sz w:val="24"/>
          <w:szCs w:val="24"/>
        </w:rPr>
        <w:t xml:space="preserve"> - A whole-of-mine-life process, which typically culminates in tenement relinquishment. It includes decommissioning and rehabilitation.</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Contaminated, in relation to land, water or a site,</w:t>
      </w:r>
      <w:r>
        <w:rPr>
          <w:rFonts w:ascii="Rockwell" w:hAnsi="Rockwell" w:cs="Rockwell"/>
          <w:sz w:val="24"/>
          <w:szCs w:val="24"/>
        </w:rPr>
        <w:t xml:space="preserve"> - means having a substance present in or on that land, water or site at above background concentrations that presents, or has the potential to present, a risk of harm to human health, the environment or any environmental value. This definition may apply to the artificial concentration (localized accumulation) of natural substances or minerals which have the potential to present a risk of harm to human health, the environment or any environmental value through this accumulation, such as mineral processing sites or tailings storage facilities.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Decommissioning</w:t>
      </w:r>
      <w:r>
        <w:rPr>
          <w:rFonts w:ascii="Rockwell" w:hAnsi="Rockwell" w:cs="Rockwell"/>
          <w:sz w:val="24"/>
          <w:szCs w:val="24"/>
        </w:rPr>
        <w:t xml:space="preserve"> - A process that begins near, or at, the cessation of mineral production and ends with removal of all unwanted infrastructure and services.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Key stakeholders</w:t>
      </w:r>
      <w:r>
        <w:rPr>
          <w:rFonts w:ascii="Rockwell" w:hAnsi="Rockwell" w:cs="Rockwell"/>
          <w:sz w:val="24"/>
          <w:szCs w:val="24"/>
        </w:rPr>
        <w:t xml:space="preserve"> - refers to post-mining land owners/managers and relevant regulators.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Life of mine</w:t>
      </w:r>
      <w:r>
        <w:rPr>
          <w:rFonts w:ascii="Rockwell" w:hAnsi="Rockwell" w:cs="Rockwell"/>
          <w:sz w:val="24"/>
          <w:szCs w:val="24"/>
        </w:rPr>
        <w:t xml:space="preserve"> - Expected duration of mining and processing operations.</w:t>
      </w:r>
    </w:p>
    <w:p w:rsidR="008329EF" w:rsidRDefault="008329EF">
      <w:pPr>
        <w:spacing w:line="360" w:lineRule="auto"/>
        <w:jc w:val="both"/>
        <w:rPr>
          <w:rFonts w:ascii="Rockwell" w:hAnsi="Rockwell" w:cs="Rockwell"/>
          <w:sz w:val="24"/>
          <w:szCs w:val="24"/>
        </w:rPr>
      </w:pPr>
    </w:p>
    <w:p w:rsidR="008329EF" w:rsidRDefault="008329EF" w:rsidP="008329EF">
      <w:pPr>
        <w:spacing w:line="360" w:lineRule="auto"/>
        <w:jc w:val="both"/>
        <w:rPr>
          <w:rFonts w:ascii="Rockwell" w:hAnsi="Rockwell" w:cs="Rockwell"/>
          <w:bCs/>
          <w:sz w:val="24"/>
          <w:szCs w:val="24"/>
        </w:rPr>
      </w:pPr>
      <w:r>
        <w:rPr>
          <w:rFonts w:ascii="Rockwell" w:hAnsi="Rockwell" w:cs="Rockwell"/>
          <w:b/>
          <w:sz w:val="24"/>
          <w:szCs w:val="24"/>
        </w:rPr>
        <w:t xml:space="preserve">Mine Waste and Tailings – </w:t>
      </w:r>
      <w:r w:rsidRPr="00E201D6">
        <w:rPr>
          <w:rFonts w:ascii="Rockwell" w:hAnsi="Rockwell" w:cs="Rockwell"/>
          <w:sz w:val="24"/>
          <w:szCs w:val="24"/>
        </w:rPr>
        <w:t xml:space="preserve">the </w:t>
      </w:r>
      <w:r>
        <w:rPr>
          <w:rFonts w:ascii="Rockwell" w:hAnsi="Rockwell" w:cs="Rockwell"/>
          <w:sz w:val="24"/>
          <w:szCs w:val="24"/>
        </w:rPr>
        <w:t xml:space="preserve">residue of </w:t>
      </w:r>
      <w:r w:rsidRPr="00E201D6">
        <w:rPr>
          <w:rFonts w:ascii="Rockwell" w:hAnsi="Rockwell" w:cs="Rockwell"/>
          <w:sz w:val="24"/>
          <w:szCs w:val="24"/>
        </w:rPr>
        <w:t>mining operations that includes gravel, sand, slime or other substances that are discarded in the course of mining operations</w:t>
      </w:r>
      <w:r>
        <w:rPr>
          <w:rFonts w:ascii="Rockwell" w:hAnsi="Rockwell" w:cs="Rockwell"/>
          <w:b/>
          <w:sz w:val="24"/>
          <w:szCs w:val="24"/>
        </w:rPr>
        <w:t xml:space="preserve"> </w:t>
      </w:r>
    </w:p>
    <w:p w:rsidR="008329EF" w:rsidRDefault="008329EF">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Mineral processing facilities</w:t>
      </w:r>
      <w:r>
        <w:rPr>
          <w:rFonts w:ascii="Rockwell" w:hAnsi="Rockwell" w:cs="Rockwell"/>
          <w:sz w:val="24"/>
          <w:szCs w:val="24"/>
        </w:rPr>
        <w:t xml:space="preserve"> - Includes all processing facilities for ore treatment including crushing plants, grinding, vat leach, heap leach, dump leach and tailings disposal facilities.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lang w:val="en-GB"/>
        </w:rPr>
      </w:pPr>
      <w:r>
        <w:rPr>
          <w:rFonts w:ascii="Rockwell" w:hAnsi="Rockwell" w:cs="Rockwell"/>
          <w:b/>
          <w:bCs/>
          <w:sz w:val="24"/>
          <w:szCs w:val="24"/>
          <w:lang w:val="en-GB"/>
        </w:rPr>
        <w:t xml:space="preserve">Mineral Win - </w:t>
      </w:r>
      <w:r>
        <w:rPr>
          <w:rFonts w:ascii="Rockwell" w:hAnsi="Rockwell" w:cs="Rockwell"/>
          <w:sz w:val="24"/>
          <w:szCs w:val="24"/>
          <w:lang w:val="en-GB"/>
        </w:rPr>
        <w:t>getting or extracting a mineral from the mines</w:t>
      </w:r>
      <w:r w:rsidR="00C27F93">
        <w:rPr>
          <w:rFonts w:ascii="Rockwell" w:hAnsi="Rockwell" w:cs="Rockwell"/>
          <w:sz w:val="24"/>
          <w:szCs w:val="24"/>
          <w:lang w:val="en-GB"/>
        </w:rPr>
        <w:t>.</w:t>
      </w:r>
    </w:p>
    <w:p w:rsidR="008329EF" w:rsidRDefault="008329EF">
      <w:pPr>
        <w:spacing w:line="360" w:lineRule="auto"/>
        <w:jc w:val="both"/>
        <w:rPr>
          <w:rFonts w:ascii="Rockwell" w:hAnsi="Rockwell" w:cs="Rockwell"/>
          <w:sz w:val="24"/>
          <w:szCs w:val="24"/>
          <w:lang w:val="en-GB"/>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Pits </w:t>
      </w:r>
      <w:r>
        <w:rPr>
          <w:rFonts w:ascii="Rockwell" w:hAnsi="Rockwell" w:cs="Rockwell"/>
          <w:sz w:val="24"/>
          <w:szCs w:val="24"/>
        </w:rPr>
        <w:t>- All open excavations including active mineral rock, gravel, sand, clay, bauxite and salt-pan extraction areas.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Post-mining land use</w:t>
      </w:r>
      <w:r>
        <w:rPr>
          <w:rFonts w:ascii="Rockwell" w:hAnsi="Rockwell" w:cs="Rockwell"/>
          <w:sz w:val="24"/>
          <w:szCs w:val="24"/>
        </w:rPr>
        <w:t xml:space="preserve"> - Term used to describe a land use that occurs after the cessation of mining operations.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Rehabilitation</w:t>
      </w:r>
      <w:r>
        <w:rPr>
          <w:rFonts w:ascii="Rockwell" w:hAnsi="Rockwell" w:cs="Rockwell"/>
          <w:sz w:val="24"/>
          <w:szCs w:val="24"/>
        </w:rPr>
        <w:t xml:space="preserve"> - The return of disturbed land to a safe, stable, non-polluting/ non-contaminating landform in an ecologically sustainable manner that is productive and/or self-sustaining consistent with the agreed post-mining land use. </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bCs/>
          <w:sz w:val="24"/>
          <w:szCs w:val="24"/>
        </w:rPr>
        <w:t xml:space="preserve">Remediation - </w:t>
      </w:r>
      <w:r>
        <w:rPr>
          <w:rFonts w:ascii="Rockwell" w:hAnsi="Rockwell" w:cs="Rockwell"/>
          <w:sz w:val="24"/>
          <w:szCs w:val="24"/>
        </w:rPr>
        <w:t xml:space="preserve">Rehabilitation, clean-up, </w:t>
      </w:r>
      <w:r w:rsidR="004D7143">
        <w:rPr>
          <w:rFonts w:ascii="Rockwell" w:hAnsi="Rockwell" w:cs="Rockwell"/>
          <w:sz w:val="24"/>
          <w:szCs w:val="24"/>
        </w:rPr>
        <w:t>rehabilitation</w:t>
      </w:r>
      <w:r>
        <w:rPr>
          <w:rFonts w:ascii="Rockwell" w:hAnsi="Rockwell" w:cs="Rockwell"/>
          <w:sz w:val="24"/>
          <w:szCs w:val="24"/>
        </w:rPr>
        <w:t>, post-care, maintenance and compatible after-use activities</w:t>
      </w:r>
      <w:r w:rsidR="00C27F93">
        <w:rPr>
          <w:rFonts w:ascii="Rockwell" w:hAnsi="Rockwell" w:cs="Rockwell"/>
          <w:sz w:val="24"/>
          <w:szCs w:val="24"/>
        </w:rPr>
        <w:t>.</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Safe </w:t>
      </w:r>
      <w:r>
        <w:rPr>
          <w:rFonts w:ascii="Rockwell" w:hAnsi="Rockwell" w:cs="Rockwell"/>
          <w:sz w:val="24"/>
          <w:szCs w:val="24"/>
        </w:rPr>
        <w:t>- A condition where the risk of adverse effects to people, livestock, other fauna and the environment in general has been reduced to a level acceptable to all stakeholders.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Stable</w:t>
      </w:r>
      <w:r>
        <w:rPr>
          <w:rFonts w:ascii="Rockwell" w:hAnsi="Rockwell" w:cs="Rockwell"/>
          <w:sz w:val="24"/>
          <w:szCs w:val="24"/>
        </w:rPr>
        <w:t xml:space="preserve"> - A condition where the rates of change of specified parameters meet agreed criteria.</w:t>
      </w:r>
    </w:p>
    <w:p w:rsidR="00CE5995" w:rsidRDefault="00D37047">
      <w:pPr>
        <w:spacing w:line="360" w:lineRule="auto"/>
        <w:jc w:val="both"/>
        <w:rPr>
          <w:rFonts w:ascii="Rockwell" w:hAnsi="Rockwell" w:cs="Rockwell"/>
          <w:sz w:val="24"/>
          <w:szCs w:val="24"/>
        </w:rPr>
      </w:pPr>
      <w:r>
        <w:rPr>
          <w:rFonts w:ascii="Rockwell" w:hAnsi="Rockwell" w:cs="Rockwell"/>
          <w:b/>
          <w:sz w:val="24"/>
          <w:szCs w:val="24"/>
        </w:rPr>
        <w:t>Stakeholder</w:t>
      </w:r>
      <w:r>
        <w:rPr>
          <w:rFonts w:ascii="Rockwell" w:hAnsi="Rockwell" w:cs="Rockwell"/>
          <w:sz w:val="24"/>
          <w:szCs w:val="24"/>
        </w:rPr>
        <w:t xml:space="preserve"> - A person, group or organization with an interest in a particular decision, either as individuals or representing a group, with the potential to influence or be affected by the process of, or outcome of, mine closure.</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 xml:space="preserve">Tailings storage facility - </w:t>
      </w:r>
      <w:r>
        <w:rPr>
          <w:rFonts w:ascii="Rockwell" w:hAnsi="Rockwell" w:cs="Rockwell"/>
          <w:sz w:val="24"/>
          <w:szCs w:val="24"/>
        </w:rPr>
        <w:t>An area used to store and consolidate tailings, and may include one or more tailings storage features.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Unacceptable liability</w:t>
      </w:r>
      <w:r>
        <w:rPr>
          <w:rFonts w:ascii="Rockwell" w:hAnsi="Rockwell" w:cs="Rockwell"/>
          <w:sz w:val="24"/>
          <w:szCs w:val="24"/>
        </w:rPr>
        <w:t xml:space="preserve"> - Closure should not lead to regulators, or the community, or landowners or land managers having to take on responsibility for ongoing management, maintenance or monitoring above that which applied before mining, or that which applied to managing land uses comparable to the agreed land uses.</w:t>
      </w:r>
    </w:p>
    <w:p w:rsidR="00C27F93" w:rsidRDefault="00C27F93">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b/>
          <w:sz w:val="24"/>
          <w:szCs w:val="24"/>
        </w:rPr>
        <w:t>Waste dumps -</w:t>
      </w:r>
      <w:r>
        <w:rPr>
          <w:rFonts w:ascii="Rockwell" w:hAnsi="Rockwell" w:cs="Rockwell"/>
          <w:sz w:val="24"/>
          <w:szCs w:val="24"/>
        </w:rPr>
        <w:t xml:space="preserve"> Includes all mullock and waste rock disposal areas (also called Overburden Storage Area, Waste Rock Landform, or Waste Rock Storage/or Area), low grade stockpiles and mineralized waste stockpiles.</w:t>
      </w:r>
    </w:p>
    <w:p w:rsidR="008E70A5" w:rsidRDefault="008E70A5" w:rsidP="005B3268">
      <w:pPr>
        <w:spacing w:line="360" w:lineRule="auto"/>
        <w:jc w:val="center"/>
        <w:rPr>
          <w:rFonts w:ascii="Rockwell" w:hAnsi="Rockwell" w:cs="Rockwell"/>
          <w:b/>
          <w:sz w:val="24"/>
          <w:szCs w:val="24"/>
        </w:rPr>
      </w:pPr>
    </w:p>
    <w:p w:rsidR="00CE5995" w:rsidRDefault="005B3268" w:rsidP="005B3268">
      <w:pPr>
        <w:spacing w:line="360" w:lineRule="auto"/>
        <w:jc w:val="center"/>
        <w:rPr>
          <w:rFonts w:ascii="Rockwell" w:hAnsi="Rockwell" w:cs="Rockwell"/>
          <w:b/>
          <w:sz w:val="24"/>
          <w:szCs w:val="24"/>
        </w:rPr>
      </w:pPr>
      <w:r w:rsidRPr="008E70A5">
        <w:rPr>
          <w:rFonts w:ascii="Rockwell" w:hAnsi="Rockwell" w:cs="Rockwell"/>
          <w:b/>
          <w:sz w:val="24"/>
          <w:szCs w:val="24"/>
        </w:rPr>
        <w:t>CHAPTER 1</w:t>
      </w:r>
      <w:r w:rsidR="00402EF9">
        <w:rPr>
          <w:rFonts w:ascii="Rockwell" w:hAnsi="Rockwell" w:cs="Rockwell"/>
          <w:b/>
          <w:sz w:val="24"/>
          <w:szCs w:val="24"/>
        </w:rPr>
        <w:t>: INTRODUCTION</w:t>
      </w:r>
    </w:p>
    <w:p w:rsidR="004831E0" w:rsidRPr="004831E0" w:rsidRDefault="004831E0" w:rsidP="004831E0">
      <w:pPr>
        <w:spacing w:line="360" w:lineRule="auto"/>
        <w:rPr>
          <w:rFonts w:ascii="Rockwell" w:hAnsi="Rockwell" w:cs="Rockwell"/>
          <w:b/>
          <w:sz w:val="24"/>
          <w:szCs w:val="24"/>
        </w:rPr>
      </w:pPr>
      <w:r w:rsidRPr="004831E0">
        <w:rPr>
          <w:rFonts w:ascii="Rockwell" w:hAnsi="Rockwell" w:cs="Rockwell"/>
          <w:b/>
          <w:sz w:val="24"/>
          <w:szCs w:val="24"/>
        </w:rPr>
        <w:t>1.1</w:t>
      </w:r>
      <w:r>
        <w:rPr>
          <w:rFonts w:ascii="Rockwell" w:hAnsi="Rockwell" w:cs="Rockwell"/>
          <w:b/>
          <w:sz w:val="24"/>
          <w:szCs w:val="24"/>
        </w:rPr>
        <w:t xml:space="preserve"> </w:t>
      </w:r>
      <w:r>
        <w:rPr>
          <w:rFonts w:ascii="Rockwell" w:hAnsi="Rockwell" w:cs="Rockwell"/>
          <w:b/>
          <w:sz w:val="24"/>
          <w:szCs w:val="24"/>
        </w:rPr>
        <w:tab/>
        <w:t>Background</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Kenya is endowed with many mineral resources both metallic and non-metallic with their exploitation yet to reach peak level. It is </w:t>
      </w:r>
      <w:r w:rsidR="003E0453">
        <w:rPr>
          <w:rFonts w:ascii="Rockwell" w:hAnsi="Rockwell" w:cs="Rockwell"/>
          <w:sz w:val="24"/>
          <w:szCs w:val="24"/>
        </w:rPr>
        <w:t xml:space="preserve">a requirement </w:t>
      </w:r>
      <w:r>
        <w:rPr>
          <w:rFonts w:ascii="Rockwell" w:hAnsi="Rockwell" w:cs="Rockwell"/>
          <w:sz w:val="24"/>
          <w:szCs w:val="24"/>
        </w:rPr>
        <w:t xml:space="preserve">that the quality of the environment needs to be maintained as </w:t>
      </w:r>
      <w:r w:rsidR="003E0453">
        <w:rPr>
          <w:rFonts w:ascii="Rockwell" w:hAnsi="Rockwell" w:cs="Rockwell"/>
          <w:sz w:val="24"/>
          <w:szCs w:val="24"/>
        </w:rPr>
        <w:t>an essential sector</w:t>
      </w:r>
      <w:r>
        <w:rPr>
          <w:rFonts w:ascii="Rockwell" w:hAnsi="Rockwell" w:cs="Rockwell"/>
          <w:sz w:val="24"/>
          <w:szCs w:val="24"/>
        </w:rPr>
        <w:t xml:space="preserve"> for the </w:t>
      </w:r>
      <w:r w:rsidR="003E0453">
        <w:rPr>
          <w:rFonts w:ascii="Rockwell" w:hAnsi="Rockwell" w:cs="Rockwell"/>
          <w:sz w:val="24"/>
          <w:szCs w:val="24"/>
        </w:rPr>
        <w:t>country</w:t>
      </w:r>
      <w:r>
        <w:rPr>
          <w:rFonts w:ascii="Rockwell" w:hAnsi="Rockwell" w:cs="Rockwell"/>
          <w:sz w:val="24"/>
          <w:szCs w:val="24"/>
        </w:rPr>
        <w:t xml:space="preserve"> while undertaking the mining operations in a safe</w:t>
      </w:r>
      <w:r w:rsidR="00FE4826">
        <w:rPr>
          <w:rFonts w:ascii="Rockwell" w:hAnsi="Rockwell" w:cs="Rockwell"/>
          <w:sz w:val="24"/>
          <w:szCs w:val="24"/>
        </w:rPr>
        <w:t>, clean</w:t>
      </w:r>
      <w:r>
        <w:rPr>
          <w:rFonts w:ascii="Rockwell" w:hAnsi="Rockwell" w:cs="Rockwell"/>
          <w:sz w:val="24"/>
          <w:szCs w:val="24"/>
        </w:rPr>
        <w:t xml:space="preserve"> and </w:t>
      </w:r>
      <w:r w:rsidR="00FE4826">
        <w:rPr>
          <w:rFonts w:ascii="Rockwell" w:hAnsi="Rockwell" w:cs="Rockwell"/>
          <w:sz w:val="24"/>
          <w:szCs w:val="24"/>
        </w:rPr>
        <w:t xml:space="preserve">healthy </w:t>
      </w:r>
      <w:r>
        <w:rPr>
          <w:rFonts w:ascii="Rockwell" w:hAnsi="Rockwell" w:cs="Rockwell"/>
          <w:sz w:val="24"/>
          <w:szCs w:val="24"/>
        </w:rPr>
        <w:t>environment by the mine owners. This is significant in view of upcoming new developments in the mining sector and considering that the Government of Kenya has recognized it as a key player for Vision 2030 and the Sustainable Development Goals (SDGs).</w:t>
      </w:r>
    </w:p>
    <w:p w:rsidR="00C5538C" w:rsidRDefault="00C5538C">
      <w:pPr>
        <w:spacing w:line="360" w:lineRule="auto"/>
        <w:jc w:val="both"/>
        <w:rPr>
          <w:rFonts w:ascii="Rockwell" w:hAnsi="Rockwell" w:cs="Rockwell"/>
          <w:sz w:val="24"/>
          <w:szCs w:val="24"/>
        </w:rPr>
      </w:pPr>
    </w:p>
    <w:p w:rsidR="00CE5995" w:rsidRDefault="00313495">
      <w:pPr>
        <w:spacing w:line="360" w:lineRule="auto"/>
        <w:jc w:val="both"/>
        <w:rPr>
          <w:rFonts w:ascii="Rockwell" w:hAnsi="Rockwell" w:cs="Rockwell"/>
          <w:sz w:val="24"/>
          <w:szCs w:val="24"/>
        </w:rPr>
      </w:pPr>
      <w:r>
        <w:rPr>
          <w:rFonts w:ascii="Rockwell" w:hAnsi="Rockwell" w:cs="Rockwell"/>
          <w:sz w:val="24"/>
          <w:szCs w:val="24"/>
        </w:rPr>
        <w:t xml:space="preserve">Failure by mine operators to undertake decommissioning and rehabilitation </w:t>
      </w:r>
      <w:r w:rsidR="00D37047">
        <w:rPr>
          <w:rFonts w:ascii="Rockwell" w:hAnsi="Rockwell" w:cs="Rockwell"/>
          <w:sz w:val="24"/>
          <w:szCs w:val="24"/>
        </w:rPr>
        <w:t>has negatively affected the sector. It portrays the sector in a negative light to the community due to the abandoned mines which often leave scars on the environment resulting into endangerment of the communit</w:t>
      </w:r>
      <w:r w:rsidR="0077158C">
        <w:rPr>
          <w:rFonts w:ascii="Rockwell" w:hAnsi="Rockwell" w:cs="Rockwell"/>
          <w:sz w:val="24"/>
          <w:szCs w:val="24"/>
        </w:rPr>
        <w:t xml:space="preserve">y health and their property. This has justified the </w:t>
      </w:r>
      <w:r w:rsidR="00D37047">
        <w:rPr>
          <w:rFonts w:ascii="Rockwell" w:hAnsi="Rockwell" w:cs="Rockwell"/>
          <w:sz w:val="24"/>
          <w:szCs w:val="24"/>
        </w:rPr>
        <w:t xml:space="preserve">need for development of </w:t>
      </w:r>
      <w:r>
        <w:rPr>
          <w:rFonts w:ascii="Rockwell" w:hAnsi="Rockwell" w:cs="Rockwell"/>
          <w:sz w:val="24"/>
          <w:szCs w:val="24"/>
          <w:lang w:val="en-GB"/>
        </w:rPr>
        <w:t>Guideline</w:t>
      </w:r>
      <w:r w:rsidR="00D37047">
        <w:rPr>
          <w:rFonts w:ascii="Rockwell" w:hAnsi="Rockwell" w:cs="Rockwell"/>
          <w:sz w:val="24"/>
          <w:szCs w:val="24"/>
        </w:rPr>
        <w:t xml:space="preserve"> for mine site closure, decommissioning and rehabilitation that should help the sector grow in an environmentally sustainable way for </w:t>
      </w:r>
      <w:r w:rsidR="0077158C">
        <w:rPr>
          <w:rFonts w:ascii="Rockwell" w:hAnsi="Rockwell" w:cs="Rockwell"/>
          <w:sz w:val="24"/>
          <w:szCs w:val="24"/>
        </w:rPr>
        <w:t>wealth creation.</w:t>
      </w:r>
      <w:r w:rsidR="00D37047">
        <w:rPr>
          <w:rFonts w:ascii="Rockwell" w:hAnsi="Rockwell" w:cs="Rockwell"/>
          <w:sz w:val="24"/>
          <w:szCs w:val="24"/>
        </w:rPr>
        <w:t xml:space="preserve">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National Environme</w:t>
      </w:r>
      <w:r w:rsidR="0077158C">
        <w:rPr>
          <w:rFonts w:ascii="Rockwell" w:hAnsi="Rockwell" w:cs="Rockwell"/>
          <w:sz w:val="24"/>
          <w:szCs w:val="24"/>
        </w:rPr>
        <w:t xml:space="preserve">nt Management Authority (NEMA) </w:t>
      </w:r>
      <w:r>
        <w:rPr>
          <w:rFonts w:ascii="Rockwell" w:hAnsi="Rockwell" w:cs="Rockwell"/>
          <w:sz w:val="24"/>
          <w:szCs w:val="24"/>
        </w:rPr>
        <w:t xml:space="preserve">recognizes there is need for environmental </w:t>
      </w:r>
      <w:r w:rsidR="004D7143">
        <w:rPr>
          <w:rFonts w:ascii="Rockwell" w:hAnsi="Rockwell" w:cs="Rockwell"/>
          <w:sz w:val="24"/>
          <w:szCs w:val="24"/>
        </w:rPr>
        <w:t>rehabilitation</w:t>
      </w:r>
      <w:r>
        <w:rPr>
          <w:rFonts w:ascii="Rockwell" w:hAnsi="Rockwell" w:cs="Rockwell"/>
          <w:sz w:val="24"/>
          <w:szCs w:val="24"/>
        </w:rPr>
        <w:t xml:space="preserve"> at the end of life of a mine with a view to e</w:t>
      </w:r>
      <w:r w:rsidR="0077158C">
        <w:rPr>
          <w:rFonts w:ascii="Rockwell" w:hAnsi="Rockwell" w:cs="Rockwell"/>
          <w:sz w:val="24"/>
          <w:szCs w:val="24"/>
        </w:rPr>
        <w:t>nvironmental sustainability</w:t>
      </w:r>
      <w:r>
        <w:rPr>
          <w:rFonts w:ascii="Rockwell" w:hAnsi="Rockwell" w:cs="Rockwell"/>
          <w:sz w:val="24"/>
          <w:szCs w:val="24"/>
        </w:rPr>
        <w:t>. As such</w:t>
      </w:r>
      <w:r w:rsidR="0077158C">
        <w:rPr>
          <w:rFonts w:ascii="Rockwell" w:hAnsi="Rockwell" w:cs="Rockwell"/>
          <w:sz w:val="24"/>
          <w:szCs w:val="24"/>
        </w:rPr>
        <w:t>,</w:t>
      </w:r>
      <w:r>
        <w:rPr>
          <w:rFonts w:ascii="Rockwell" w:hAnsi="Rockwell" w:cs="Rockwell"/>
          <w:sz w:val="24"/>
          <w:szCs w:val="24"/>
        </w:rPr>
        <w:t xml:space="preserve"> mine site decommissioning planning should be part of the mining sector objectives to ensure </w:t>
      </w:r>
      <w:r w:rsidR="0077158C">
        <w:rPr>
          <w:rFonts w:ascii="Rockwell" w:hAnsi="Rockwell" w:cs="Rockwell"/>
          <w:sz w:val="24"/>
          <w:szCs w:val="24"/>
        </w:rPr>
        <w:t>sustainability during the after-</w:t>
      </w:r>
      <w:r>
        <w:rPr>
          <w:rFonts w:ascii="Rockwell" w:hAnsi="Rockwell" w:cs="Rockwell"/>
          <w:sz w:val="24"/>
          <w:szCs w:val="24"/>
        </w:rPr>
        <w:t xml:space="preserve">use plan of the mining site. This </w:t>
      </w:r>
      <w:r w:rsidR="0077158C">
        <w:rPr>
          <w:rFonts w:ascii="Rockwell" w:hAnsi="Rockwell" w:cs="Rockwell"/>
          <w:sz w:val="24"/>
          <w:szCs w:val="24"/>
        </w:rPr>
        <w:t>requires</w:t>
      </w:r>
      <w:r>
        <w:rPr>
          <w:rFonts w:ascii="Rockwell" w:hAnsi="Rockwell" w:cs="Rockwell"/>
          <w:sz w:val="24"/>
          <w:szCs w:val="24"/>
        </w:rPr>
        <w:t xml:space="preserve"> that the environmental issues are well-thought-out throughout the mining life cycle through integration of the various </w:t>
      </w:r>
      <w:r w:rsidR="00FE4826">
        <w:rPr>
          <w:rFonts w:ascii="Rockwell" w:hAnsi="Rockwell" w:cs="Rockwell"/>
          <w:sz w:val="24"/>
          <w:szCs w:val="24"/>
        </w:rPr>
        <w:t>environmental</w:t>
      </w:r>
      <w:r>
        <w:rPr>
          <w:rFonts w:ascii="Rockwell" w:hAnsi="Rockwell" w:cs="Rockwell"/>
          <w:sz w:val="24"/>
          <w:szCs w:val="24"/>
        </w:rPr>
        <w:t xml:space="preserve"> </w:t>
      </w:r>
      <w:r w:rsidR="0077158C">
        <w:rPr>
          <w:rFonts w:ascii="Rockwell" w:hAnsi="Rockwell" w:cs="Rockwell"/>
          <w:sz w:val="24"/>
          <w:szCs w:val="24"/>
        </w:rPr>
        <w:t>principles, requirements and considerations</w:t>
      </w:r>
      <w:r>
        <w:rPr>
          <w:rFonts w:ascii="Rockwell" w:hAnsi="Rockwell" w:cs="Rockwell"/>
          <w:sz w:val="24"/>
          <w:szCs w:val="24"/>
        </w:rPr>
        <w:t xml:space="preserve"> into the mining activities includ</w:t>
      </w:r>
      <w:r w:rsidR="0077158C">
        <w:rPr>
          <w:rFonts w:ascii="Rockwell" w:hAnsi="Rockwell" w:cs="Rockwell"/>
          <w:sz w:val="24"/>
          <w:szCs w:val="24"/>
        </w:rPr>
        <w:t>ing the closure aspects. P</w:t>
      </w:r>
      <w:r>
        <w:rPr>
          <w:rFonts w:ascii="Rockwell" w:hAnsi="Rockwell" w:cs="Rockwell"/>
          <w:sz w:val="24"/>
          <w:szCs w:val="24"/>
        </w:rPr>
        <w:t>rop</w:t>
      </w:r>
      <w:r w:rsidR="0077158C">
        <w:rPr>
          <w:rFonts w:ascii="Rockwell" w:hAnsi="Rockwell" w:cs="Rockwell"/>
          <w:sz w:val="24"/>
          <w:szCs w:val="24"/>
        </w:rPr>
        <w:t>er management of the mines</w:t>
      </w:r>
      <w:r>
        <w:rPr>
          <w:rFonts w:ascii="Rockwell" w:hAnsi="Rockwell" w:cs="Rockwell"/>
          <w:sz w:val="24"/>
          <w:szCs w:val="24"/>
        </w:rPr>
        <w:t xml:space="preserve"> </w:t>
      </w:r>
      <w:r w:rsidR="0077158C">
        <w:rPr>
          <w:rFonts w:ascii="Rockwell" w:hAnsi="Rockwell" w:cs="Rockwell"/>
          <w:sz w:val="24"/>
          <w:szCs w:val="24"/>
        </w:rPr>
        <w:t xml:space="preserve">ensures that appropriate </w:t>
      </w:r>
      <w:r>
        <w:rPr>
          <w:rFonts w:ascii="Rockwell" w:hAnsi="Rockwell" w:cs="Rockwell"/>
          <w:sz w:val="24"/>
          <w:szCs w:val="24"/>
        </w:rPr>
        <w:t xml:space="preserve">mitigation </w:t>
      </w:r>
      <w:r w:rsidR="0077158C">
        <w:rPr>
          <w:rFonts w:ascii="Rockwell" w:hAnsi="Rockwell" w:cs="Rockwell"/>
          <w:sz w:val="24"/>
          <w:szCs w:val="24"/>
        </w:rPr>
        <w:t xml:space="preserve">measures </w:t>
      </w:r>
      <w:r>
        <w:rPr>
          <w:rFonts w:ascii="Rockwell" w:hAnsi="Rockwell" w:cs="Rockwell"/>
          <w:sz w:val="24"/>
          <w:szCs w:val="24"/>
        </w:rPr>
        <w:t>of potential environmenta</w:t>
      </w:r>
      <w:r w:rsidR="0077158C">
        <w:rPr>
          <w:rFonts w:ascii="Rockwell" w:hAnsi="Rockwell" w:cs="Rockwell"/>
          <w:sz w:val="24"/>
          <w:szCs w:val="24"/>
        </w:rPr>
        <w:t xml:space="preserve">l impacts and </w:t>
      </w:r>
      <w:r>
        <w:rPr>
          <w:rFonts w:ascii="Rockwell" w:hAnsi="Rockwell" w:cs="Rockwell"/>
          <w:sz w:val="24"/>
          <w:szCs w:val="24"/>
        </w:rPr>
        <w:t>human health</w:t>
      </w:r>
      <w:r w:rsidR="0077158C">
        <w:rPr>
          <w:rFonts w:ascii="Rockwell" w:hAnsi="Rockwell" w:cs="Rockwell"/>
          <w:sz w:val="24"/>
          <w:szCs w:val="24"/>
        </w:rPr>
        <w:t xml:space="preserve"> are integrated in the entire mining cycle</w:t>
      </w:r>
      <w:r>
        <w:rPr>
          <w:rFonts w:ascii="Rockwell" w:hAnsi="Rockwell" w:cs="Rockwell"/>
          <w:sz w:val="24"/>
          <w:szCs w:val="24"/>
        </w:rPr>
        <w:t xml:space="preserve">. </w:t>
      </w:r>
    </w:p>
    <w:p w:rsidR="00313495" w:rsidRDefault="00313495">
      <w:pPr>
        <w:spacing w:line="360" w:lineRule="auto"/>
        <w:jc w:val="both"/>
        <w:rPr>
          <w:rFonts w:ascii="Rockwell" w:hAnsi="Rockwell" w:cs="Rockwell"/>
          <w:sz w:val="24"/>
          <w:szCs w:val="24"/>
        </w:rPr>
      </w:pPr>
    </w:p>
    <w:p w:rsidR="004930DF" w:rsidRDefault="004930DF">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The e</w:t>
      </w:r>
      <w:r w:rsidR="003E0453">
        <w:rPr>
          <w:rFonts w:ascii="Rockwell" w:hAnsi="Rockwell" w:cs="Rockwell"/>
          <w:sz w:val="24"/>
          <w:szCs w:val="24"/>
        </w:rPr>
        <w:t xml:space="preserve">nactment </w:t>
      </w:r>
      <w:r>
        <w:rPr>
          <w:rFonts w:ascii="Rockwell" w:hAnsi="Rockwell" w:cs="Rockwell"/>
          <w:sz w:val="24"/>
          <w:szCs w:val="24"/>
        </w:rPr>
        <w:t>of EMCA, 1999</w:t>
      </w:r>
      <w:r w:rsidR="00FE4826">
        <w:rPr>
          <w:rFonts w:ascii="Rockwell" w:hAnsi="Rockwell" w:cs="Rockwell"/>
          <w:sz w:val="24"/>
          <w:szCs w:val="24"/>
        </w:rPr>
        <w:t xml:space="preserve"> and its subsidiary legislations</w:t>
      </w:r>
      <w:r>
        <w:rPr>
          <w:rFonts w:ascii="Rockwell" w:hAnsi="Rockwell" w:cs="Rockwell"/>
          <w:sz w:val="24"/>
          <w:szCs w:val="24"/>
        </w:rPr>
        <w:t xml:space="preserve"> is informed by several principles including the Polluter-</w:t>
      </w:r>
      <w:r w:rsidR="00FE4826">
        <w:rPr>
          <w:rFonts w:ascii="Rockwell" w:hAnsi="Rockwell" w:cs="Rockwell"/>
          <w:sz w:val="24"/>
          <w:szCs w:val="24"/>
        </w:rPr>
        <w:t>Pays Principle (PPP)</w:t>
      </w:r>
      <w:r>
        <w:rPr>
          <w:rFonts w:ascii="Rockwell" w:hAnsi="Rockwell" w:cs="Rockwell"/>
          <w:sz w:val="24"/>
          <w:szCs w:val="24"/>
        </w:rPr>
        <w:t xml:space="preserve">. The principle provisions that any polluter to the environment must bear full responsibility of its clean up and rehabilitation. This </w:t>
      </w:r>
      <w:r w:rsidR="004930DF">
        <w:rPr>
          <w:rFonts w:ascii="Rockwell" w:hAnsi="Rockwell" w:cs="Rockwell"/>
          <w:sz w:val="24"/>
          <w:szCs w:val="24"/>
        </w:rPr>
        <w:t xml:space="preserve">obligates the mine </w:t>
      </w:r>
      <w:r>
        <w:rPr>
          <w:rFonts w:ascii="Rockwell" w:hAnsi="Rockwell" w:cs="Rockwell"/>
          <w:sz w:val="24"/>
          <w:szCs w:val="24"/>
        </w:rPr>
        <w:t>operator</w:t>
      </w:r>
      <w:r w:rsidR="004930DF">
        <w:rPr>
          <w:rFonts w:ascii="Rockwell" w:hAnsi="Rockwell" w:cs="Rockwell"/>
          <w:sz w:val="24"/>
          <w:szCs w:val="24"/>
        </w:rPr>
        <w:t xml:space="preserve">s to </w:t>
      </w:r>
      <w:r>
        <w:rPr>
          <w:rFonts w:ascii="Rockwell" w:hAnsi="Rockwell" w:cs="Rockwell"/>
          <w:sz w:val="24"/>
          <w:szCs w:val="24"/>
        </w:rPr>
        <w:t xml:space="preserve">undertake activities such as appropriate decommissioning and rehabilitation to restore the mine site and other environmental resources within the project area. </w:t>
      </w:r>
    </w:p>
    <w:p w:rsidR="00C311CF" w:rsidRDefault="00C311CF">
      <w:pPr>
        <w:spacing w:line="360" w:lineRule="auto"/>
        <w:jc w:val="both"/>
        <w:rPr>
          <w:rFonts w:ascii="Rockwell" w:hAnsi="Rockwell" w:cs="Rockwell"/>
          <w:color w:val="FF0000"/>
          <w:sz w:val="24"/>
          <w:szCs w:val="24"/>
        </w:rPr>
      </w:pPr>
    </w:p>
    <w:p w:rsidR="00CE5995" w:rsidRDefault="00983629">
      <w:pPr>
        <w:tabs>
          <w:tab w:val="left" w:pos="720"/>
        </w:tabs>
        <w:spacing w:line="360" w:lineRule="auto"/>
        <w:jc w:val="both"/>
        <w:outlineLvl w:val="0"/>
        <w:rPr>
          <w:rFonts w:ascii="Rockwell" w:hAnsi="Rockwell" w:cs="Rockwell"/>
          <w:b/>
          <w:sz w:val="24"/>
          <w:szCs w:val="24"/>
          <w:lang w:val="en-GB"/>
        </w:rPr>
      </w:pPr>
      <w:bookmarkStart w:id="24" w:name="_Toc7688"/>
      <w:bookmarkStart w:id="25" w:name="_Toc22970"/>
      <w:bookmarkStart w:id="26" w:name="_Toc24141"/>
      <w:r>
        <w:rPr>
          <w:rFonts w:ascii="Rockwell" w:hAnsi="Rockwell" w:cs="Rockwell"/>
          <w:b/>
          <w:sz w:val="24"/>
          <w:szCs w:val="24"/>
        </w:rPr>
        <w:t>1.2</w:t>
      </w:r>
      <w:r w:rsidR="00D37047">
        <w:rPr>
          <w:rFonts w:ascii="Rockwell" w:hAnsi="Rockwell" w:cs="Rockwell"/>
          <w:b/>
          <w:sz w:val="24"/>
          <w:szCs w:val="24"/>
        </w:rPr>
        <w:t xml:space="preserve"> </w:t>
      </w:r>
      <w:r w:rsidR="00B57582">
        <w:rPr>
          <w:rFonts w:ascii="Rockwell" w:hAnsi="Rockwell" w:cs="Rockwell"/>
          <w:b/>
          <w:sz w:val="24"/>
          <w:szCs w:val="24"/>
          <w:lang w:val="en-GB"/>
        </w:rPr>
        <w:t>Objective</w:t>
      </w:r>
      <w:bookmarkEnd w:id="24"/>
      <w:bookmarkEnd w:id="25"/>
      <w:bookmarkEnd w:id="26"/>
      <w:r w:rsidR="004930DF">
        <w:rPr>
          <w:rFonts w:ascii="Rockwell" w:hAnsi="Rockwell" w:cs="Rockwell"/>
          <w:b/>
          <w:sz w:val="24"/>
          <w:szCs w:val="24"/>
          <w:lang w:val="en-GB"/>
        </w:rPr>
        <w:t xml:space="preserve"> of the Guideline</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overall objective of the </w:t>
      </w:r>
      <w:r w:rsidR="00313495">
        <w:rPr>
          <w:rFonts w:ascii="Rockwell" w:hAnsi="Rockwell" w:cs="Rockwell"/>
          <w:sz w:val="24"/>
          <w:szCs w:val="24"/>
        </w:rPr>
        <w:t>Guideline</w:t>
      </w:r>
      <w:r>
        <w:rPr>
          <w:rFonts w:ascii="Rockwell" w:hAnsi="Rockwell" w:cs="Rockwell"/>
          <w:sz w:val="24"/>
          <w:szCs w:val="24"/>
        </w:rPr>
        <w:t xml:space="preserve"> is to assist the mining operators, </w:t>
      </w:r>
      <w:r w:rsidR="00E06204">
        <w:rPr>
          <w:rFonts w:ascii="Rockwell" w:hAnsi="Rockwell" w:cs="Rockwell"/>
          <w:sz w:val="24"/>
          <w:szCs w:val="24"/>
        </w:rPr>
        <w:t>Ministries, Departments, Counties and Agencies (</w:t>
      </w:r>
      <w:r w:rsidR="004D7143">
        <w:rPr>
          <w:rFonts w:ascii="Rockwell" w:hAnsi="Rockwell" w:cs="Rockwell"/>
          <w:sz w:val="24"/>
          <w:szCs w:val="24"/>
        </w:rPr>
        <w:t>MCDAs</w:t>
      </w:r>
      <w:r w:rsidR="00E06204">
        <w:rPr>
          <w:rFonts w:ascii="Rockwell" w:hAnsi="Rockwell" w:cs="Rockwell"/>
          <w:sz w:val="24"/>
          <w:szCs w:val="24"/>
        </w:rPr>
        <w:t>), environmental experts</w:t>
      </w:r>
      <w:r>
        <w:rPr>
          <w:rFonts w:ascii="Rockwell" w:hAnsi="Rockwell" w:cs="Rockwell"/>
          <w:sz w:val="24"/>
          <w:szCs w:val="24"/>
        </w:rPr>
        <w:t>, private sector, C</w:t>
      </w:r>
      <w:r w:rsidR="00E06204">
        <w:rPr>
          <w:rFonts w:ascii="Rockwell" w:hAnsi="Rockwell" w:cs="Rockwell"/>
          <w:sz w:val="24"/>
          <w:szCs w:val="24"/>
        </w:rPr>
        <w:t xml:space="preserve">ivil </w:t>
      </w:r>
      <w:r>
        <w:rPr>
          <w:rFonts w:ascii="Rockwell" w:hAnsi="Rockwell" w:cs="Rockwell"/>
          <w:sz w:val="24"/>
          <w:szCs w:val="24"/>
        </w:rPr>
        <w:t>S</w:t>
      </w:r>
      <w:r w:rsidR="00E06204">
        <w:rPr>
          <w:rFonts w:ascii="Rockwell" w:hAnsi="Rockwell" w:cs="Rockwell"/>
          <w:sz w:val="24"/>
          <w:szCs w:val="24"/>
        </w:rPr>
        <w:t xml:space="preserve">ociety Organizations (CSOs), </w:t>
      </w:r>
      <w:r w:rsidR="002B14C0">
        <w:rPr>
          <w:rFonts w:ascii="Rockwell" w:hAnsi="Rockwell" w:cs="Rockwell"/>
          <w:sz w:val="24"/>
          <w:szCs w:val="24"/>
        </w:rPr>
        <w:t>communities and</w:t>
      </w:r>
      <w:r w:rsidR="00E06204">
        <w:rPr>
          <w:rFonts w:ascii="Rockwell" w:hAnsi="Rockwell" w:cs="Rockwell"/>
          <w:sz w:val="24"/>
          <w:szCs w:val="24"/>
        </w:rPr>
        <w:t xml:space="preserve"> mass media </w:t>
      </w:r>
      <w:r>
        <w:rPr>
          <w:rFonts w:ascii="Rockwell" w:hAnsi="Rockwell" w:cs="Rockwell"/>
          <w:sz w:val="24"/>
          <w:szCs w:val="24"/>
        </w:rPr>
        <w:t>in ensuring that the mining sites are decommissioned and rehabilitated after the cessation of the mining op</w:t>
      </w:r>
      <w:r w:rsidR="00281187">
        <w:rPr>
          <w:rFonts w:ascii="Rockwell" w:hAnsi="Rockwell" w:cs="Rockwell"/>
          <w:sz w:val="24"/>
          <w:szCs w:val="24"/>
        </w:rPr>
        <w:t xml:space="preserve">erations. This will ensure protection of </w:t>
      </w:r>
      <w:r>
        <w:rPr>
          <w:rFonts w:ascii="Rockwell" w:hAnsi="Rockwell" w:cs="Rockwell"/>
          <w:sz w:val="24"/>
          <w:szCs w:val="24"/>
        </w:rPr>
        <w:t xml:space="preserve">the environment </w:t>
      </w:r>
      <w:r w:rsidR="00281187">
        <w:rPr>
          <w:rFonts w:ascii="Rockwell" w:hAnsi="Rockwell" w:cs="Rockwell"/>
          <w:sz w:val="24"/>
          <w:szCs w:val="24"/>
        </w:rPr>
        <w:t>as well as</w:t>
      </w:r>
      <w:r>
        <w:rPr>
          <w:rFonts w:ascii="Rockwell" w:hAnsi="Rockwell" w:cs="Rockwell"/>
          <w:sz w:val="24"/>
          <w:szCs w:val="24"/>
        </w:rPr>
        <w:t xml:space="preserve"> public health and safety through elimination of adverse environmental effects resulting fr</w:t>
      </w:r>
      <w:r w:rsidR="00281187">
        <w:rPr>
          <w:rFonts w:ascii="Rockwell" w:hAnsi="Rockwell" w:cs="Rockwell"/>
          <w:sz w:val="24"/>
          <w:szCs w:val="24"/>
        </w:rPr>
        <w:t>om the mining activities. It is therefore important to e</w:t>
      </w:r>
      <w:r>
        <w:rPr>
          <w:rFonts w:ascii="Rockwell" w:hAnsi="Rockwell" w:cs="Rockwell"/>
          <w:sz w:val="24"/>
          <w:szCs w:val="24"/>
        </w:rPr>
        <w:t>stablish conducive conditions that are</w:t>
      </w:r>
      <w:r w:rsidR="00B57582">
        <w:rPr>
          <w:rFonts w:ascii="Rockwell" w:hAnsi="Rockwell" w:cs="Rockwell"/>
          <w:sz w:val="24"/>
          <w:szCs w:val="24"/>
        </w:rPr>
        <w:t xml:space="preserve"> consistent with the agreed after-</w:t>
      </w:r>
      <w:r>
        <w:rPr>
          <w:rFonts w:ascii="Rockwell" w:hAnsi="Rockwell" w:cs="Rockwell"/>
          <w:sz w:val="24"/>
          <w:szCs w:val="24"/>
        </w:rPr>
        <w:t xml:space="preserve">use plan </w:t>
      </w:r>
      <w:r>
        <w:rPr>
          <w:rFonts w:ascii="Rockwell" w:hAnsi="Rockwell" w:cs="Rockwell"/>
          <w:sz w:val="24"/>
          <w:szCs w:val="24"/>
          <w:lang w:val="en-GB"/>
        </w:rPr>
        <w:t xml:space="preserve">and </w:t>
      </w:r>
      <w:r>
        <w:rPr>
          <w:rFonts w:ascii="Rockwell" w:hAnsi="Rockwell" w:cs="Rockwell"/>
          <w:sz w:val="24"/>
          <w:szCs w:val="24"/>
        </w:rPr>
        <w:t>enhanc</w:t>
      </w:r>
      <w:r w:rsidR="00060D18">
        <w:rPr>
          <w:rFonts w:ascii="Rockwell" w:hAnsi="Rockwell" w:cs="Rockwell"/>
          <w:sz w:val="24"/>
          <w:szCs w:val="24"/>
        </w:rPr>
        <w:t xml:space="preserve">ement of </w:t>
      </w:r>
      <w:r>
        <w:rPr>
          <w:rFonts w:ascii="Rockwell" w:hAnsi="Rockwell" w:cs="Rockwell"/>
          <w:sz w:val="24"/>
          <w:szCs w:val="24"/>
          <w:lang w:val="en-GB"/>
        </w:rPr>
        <w:t>the</w:t>
      </w:r>
      <w:r>
        <w:rPr>
          <w:rFonts w:ascii="Rockwell" w:hAnsi="Rockwell" w:cs="Rockwell"/>
          <w:sz w:val="24"/>
          <w:szCs w:val="24"/>
        </w:rPr>
        <w:t xml:space="preserve"> monitoring mechanisms in the</w:t>
      </w:r>
      <w:r>
        <w:rPr>
          <w:rFonts w:ascii="Rockwell" w:hAnsi="Rockwell" w:cs="Rockwell"/>
          <w:sz w:val="24"/>
          <w:szCs w:val="24"/>
          <w:lang w:val="en-GB"/>
        </w:rPr>
        <w:t xml:space="preserve"> decommissioned</w:t>
      </w:r>
      <w:r>
        <w:rPr>
          <w:rFonts w:ascii="Rockwell" w:hAnsi="Rockwell" w:cs="Rockwell"/>
          <w:sz w:val="24"/>
          <w:szCs w:val="24"/>
        </w:rPr>
        <w:t xml:space="preserve"> min</w:t>
      </w:r>
      <w:r>
        <w:rPr>
          <w:rFonts w:ascii="Rockwell" w:hAnsi="Rockwell" w:cs="Rockwell"/>
          <w:sz w:val="24"/>
          <w:szCs w:val="24"/>
          <w:lang w:val="en-GB"/>
        </w:rPr>
        <w:t>e</w:t>
      </w:r>
      <w:r>
        <w:rPr>
          <w:rFonts w:ascii="Rockwell" w:hAnsi="Rockwell" w:cs="Rockwell"/>
          <w:sz w:val="24"/>
          <w:szCs w:val="24"/>
        </w:rPr>
        <w:t xml:space="preserve"> site area.</w:t>
      </w:r>
    </w:p>
    <w:p w:rsidR="00CE5995" w:rsidRDefault="00CE5995">
      <w:pPr>
        <w:tabs>
          <w:tab w:val="left" w:pos="720"/>
        </w:tabs>
        <w:spacing w:line="360" w:lineRule="auto"/>
        <w:jc w:val="both"/>
        <w:rPr>
          <w:rFonts w:ascii="Rockwell" w:hAnsi="Rockwell" w:cs="Rockwell"/>
          <w:b/>
          <w:sz w:val="24"/>
          <w:szCs w:val="24"/>
          <w:lang w:val="en-GB"/>
        </w:rPr>
      </w:pPr>
    </w:p>
    <w:p w:rsidR="00CE5995" w:rsidRDefault="00D37047">
      <w:pPr>
        <w:tabs>
          <w:tab w:val="left" w:pos="720"/>
        </w:tabs>
        <w:spacing w:line="360" w:lineRule="auto"/>
        <w:jc w:val="both"/>
        <w:rPr>
          <w:rFonts w:ascii="Rockwell" w:hAnsi="Rockwell" w:cs="Rockwell"/>
          <w:sz w:val="24"/>
          <w:szCs w:val="24"/>
        </w:rPr>
      </w:pPr>
      <w:r>
        <w:rPr>
          <w:rFonts w:ascii="Rockwell" w:hAnsi="Rockwell" w:cs="Rockwell"/>
          <w:sz w:val="24"/>
          <w:szCs w:val="24"/>
        </w:rPr>
        <w:t>The objective</w:t>
      </w:r>
      <w:r w:rsidR="00B57582">
        <w:rPr>
          <w:rFonts w:ascii="Rockwell" w:hAnsi="Rockwell" w:cs="Rockwell"/>
          <w:sz w:val="24"/>
          <w:szCs w:val="24"/>
        </w:rPr>
        <w:t>s</w:t>
      </w:r>
      <w:r>
        <w:rPr>
          <w:rFonts w:ascii="Rockwell" w:hAnsi="Rockwell" w:cs="Rockwell"/>
          <w:sz w:val="24"/>
          <w:szCs w:val="24"/>
        </w:rPr>
        <w:t xml:space="preserve"> of this </w:t>
      </w:r>
      <w:r w:rsidR="00313495">
        <w:rPr>
          <w:rFonts w:ascii="Rockwell" w:hAnsi="Rockwell" w:cs="Rockwell"/>
          <w:sz w:val="24"/>
          <w:szCs w:val="24"/>
        </w:rPr>
        <w:t>Guideline</w:t>
      </w:r>
      <w:r w:rsidR="00B57582">
        <w:rPr>
          <w:rFonts w:ascii="Rockwell" w:hAnsi="Rockwell" w:cs="Rockwell"/>
          <w:sz w:val="24"/>
          <w:szCs w:val="24"/>
        </w:rPr>
        <w:t xml:space="preserve"> are</w:t>
      </w:r>
      <w:r w:rsidR="00281187">
        <w:rPr>
          <w:rFonts w:ascii="Rockwell" w:hAnsi="Rockwell" w:cs="Rockwell"/>
          <w:sz w:val="24"/>
          <w:szCs w:val="24"/>
        </w:rPr>
        <w:t>:</w:t>
      </w:r>
    </w:p>
    <w:p w:rsidR="00757A0E" w:rsidRDefault="00757A0E" w:rsidP="00835D45">
      <w:pPr>
        <w:pStyle w:val="ListParagraph"/>
        <w:numPr>
          <w:ilvl w:val="0"/>
          <w:numId w:val="32"/>
        </w:numPr>
        <w:spacing w:line="360" w:lineRule="auto"/>
        <w:jc w:val="both"/>
        <w:rPr>
          <w:rFonts w:ascii="Rockwell" w:hAnsi="Rockwell" w:cs="Rockwell"/>
          <w:sz w:val="24"/>
          <w:szCs w:val="24"/>
        </w:rPr>
      </w:pPr>
      <w:r>
        <w:rPr>
          <w:rFonts w:ascii="Rockwell" w:hAnsi="Rockwell" w:cs="Rockwell"/>
          <w:sz w:val="24"/>
          <w:szCs w:val="24"/>
        </w:rPr>
        <w:t xml:space="preserve"> </w:t>
      </w:r>
      <w:r w:rsidR="00281187">
        <w:rPr>
          <w:rFonts w:ascii="Rockwell" w:hAnsi="Rockwell" w:cs="Rockwell"/>
          <w:sz w:val="24"/>
          <w:szCs w:val="24"/>
        </w:rPr>
        <w:t>To provide g</w:t>
      </w:r>
      <w:r w:rsidR="00D37047">
        <w:rPr>
          <w:rFonts w:ascii="Rockwell" w:hAnsi="Rockwell" w:cs="Rockwell"/>
          <w:sz w:val="24"/>
          <w:szCs w:val="24"/>
        </w:rPr>
        <w:t>uidance on the preparation of mine site decommissioning and rehabilitation plans to meet regulatory requirements and best practices</w:t>
      </w:r>
      <w:r w:rsidR="00281187">
        <w:rPr>
          <w:rFonts w:ascii="Rockwell" w:hAnsi="Rockwell" w:cs="Rockwell"/>
          <w:sz w:val="24"/>
          <w:szCs w:val="24"/>
        </w:rPr>
        <w:t>;</w:t>
      </w:r>
      <w:r w:rsidR="00D37047">
        <w:rPr>
          <w:rFonts w:ascii="Rockwell" w:hAnsi="Rockwell" w:cs="Rockwell"/>
          <w:sz w:val="24"/>
          <w:szCs w:val="24"/>
        </w:rPr>
        <w:t xml:space="preserve"> </w:t>
      </w:r>
    </w:p>
    <w:p w:rsidR="00CE5995" w:rsidRPr="00757A0E" w:rsidRDefault="00D37047" w:rsidP="00835D45">
      <w:pPr>
        <w:pStyle w:val="ListParagraph"/>
        <w:numPr>
          <w:ilvl w:val="0"/>
          <w:numId w:val="32"/>
        </w:numPr>
        <w:spacing w:line="360" w:lineRule="auto"/>
        <w:jc w:val="both"/>
        <w:rPr>
          <w:rFonts w:ascii="Rockwell" w:hAnsi="Rockwell" w:cs="Rockwell"/>
          <w:sz w:val="24"/>
          <w:szCs w:val="24"/>
        </w:rPr>
      </w:pPr>
      <w:r w:rsidRPr="00757A0E">
        <w:rPr>
          <w:rFonts w:ascii="Rockwell" w:hAnsi="Rockwell" w:cs="Rockwell"/>
          <w:sz w:val="24"/>
          <w:szCs w:val="24"/>
        </w:rPr>
        <w:t>To adopt best practices on mine site decommissioning and rehabilitation</w:t>
      </w:r>
      <w:r w:rsidR="00281187" w:rsidRPr="00757A0E">
        <w:rPr>
          <w:rFonts w:ascii="Rockwell" w:hAnsi="Rockwell" w:cs="Rockwell"/>
          <w:sz w:val="24"/>
          <w:szCs w:val="24"/>
        </w:rPr>
        <w:t>;</w:t>
      </w:r>
      <w:r w:rsidRPr="00757A0E">
        <w:rPr>
          <w:rFonts w:ascii="Rockwell" w:hAnsi="Rockwell" w:cs="Rockwell"/>
          <w:sz w:val="24"/>
          <w:szCs w:val="24"/>
        </w:rPr>
        <w:t xml:space="preserve"> </w:t>
      </w:r>
      <w:r w:rsidR="00281187" w:rsidRPr="00757A0E">
        <w:rPr>
          <w:rFonts w:ascii="Rockwell" w:hAnsi="Rockwell" w:cs="Rockwell"/>
          <w:sz w:val="24"/>
          <w:szCs w:val="24"/>
        </w:rPr>
        <w:t>and</w:t>
      </w:r>
    </w:p>
    <w:p w:rsidR="00CE5995" w:rsidRDefault="00D37047" w:rsidP="00835D45">
      <w:pPr>
        <w:pStyle w:val="ListParagraph"/>
        <w:numPr>
          <w:ilvl w:val="0"/>
          <w:numId w:val="32"/>
        </w:numPr>
        <w:spacing w:line="360" w:lineRule="auto"/>
        <w:jc w:val="both"/>
        <w:rPr>
          <w:rFonts w:ascii="Rockwell" w:hAnsi="Rockwell" w:cs="Rockwell"/>
          <w:sz w:val="24"/>
          <w:szCs w:val="24"/>
        </w:rPr>
      </w:pPr>
      <w:r w:rsidRPr="00757A0E">
        <w:rPr>
          <w:rFonts w:ascii="Rockwell" w:hAnsi="Rockwell" w:cs="Rockwell"/>
          <w:sz w:val="24"/>
          <w:szCs w:val="24"/>
        </w:rPr>
        <w:t xml:space="preserve">To promote effective engagement and inclusive participation of Project Affected </w:t>
      </w:r>
      <w:r w:rsidR="00E06204">
        <w:rPr>
          <w:rFonts w:ascii="Rockwell" w:hAnsi="Rockwell" w:cs="Rockwell"/>
          <w:sz w:val="24"/>
          <w:szCs w:val="24"/>
        </w:rPr>
        <w:t>Persons (PAPs)</w:t>
      </w:r>
      <w:r w:rsidRPr="00757A0E">
        <w:rPr>
          <w:rFonts w:ascii="Rockwell" w:hAnsi="Rockwell" w:cs="Rockwell"/>
          <w:sz w:val="24"/>
          <w:szCs w:val="24"/>
        </w:rPr>
        <w:t xml:space="preserve"> and communities in decision making processes relating to mine </w:t>
      </w:r>
      <w:r>
        <w:rPr>
          <w:rFonts w:ascii="Rockwell" w:hAnsi="Rockwell" w:cs="Rockwell"/>
          <w:sz w:val="24"/>
          <w:szCs w:val="24"/>
        </w:rPr>
        <w:t>site</w:t>
      </w:r>
      <w:r w:rsidRPr="00757A0E">
        <w:rPr>
          <w:rFonts w:ascii="Rockwell" w:hAnsi="Rockwell" w:cs="Rockwell"/>
          <w:sz w:val="24"/>
          <w:szCs w:val="24"/>
        </w:rPr>
        <w:t xml:space="preserve"> decommissioning</w:t>
      </w:r>
      <w:r>
        <w:rPr>
          <w:rFonts w:ascii="Rockwell" w:hAnsi="Rockwell" w:cs="Rockwell"/>
          <w:sz w:val="24"/>
          <w:szCs w:val="24"/>
        </w:rPr>
        <w:t xml:space="preserve">, </w:t>
      </w:r>
      <w:r w:rsidRPr="00757A0E">
        <w:rPr>
          <w:rFonts w:ascii="Rockwell" w:hAnsi="Rockwell" w:cs="Rockwell"/>
          <w:sz w:val="24"/>
          <w:szCs w:val="24"/>
        </w:rPr>
        <w:t>rehabilitation</w:t>
      </w:r>
      <w:r>
        <w:rPr>
          <w:rFonts w:ascii="Rockwell" w:hAnsi="Rockwell" w:cs="Rockwell"/>
          <w:sz w:val="24"/>
          <w:szCs w:val="24"/>
        </w:rPr>
        <w:t xml:space="preserve"> and after use</w:t>
      </w:r>
      <w:r w:rsidRPr="00757A0E">
        <w:rPr>
          <w:rFonts w:ascii="Rockwell" w:hAnsi="Rockwell" w:cs="Rockwell"/>
          <w:sz w:val="24"/>
          <w:szCs w:val="24"/>
        </w:rPr>
        <w:t>.</w:t>
      </w:r>
    </w:p>
    <w:p w:rsidR="00CE5995" w:rsidRDefault="00CE5995">
      <w:pPr>
        <w:tabs>
          <w:tab w:val="left" w:pos="720"/>
        </w:tabs>
        <w:spacing w:line="360" w:lineRule="auto"/>
        <w:jc w:val="both"/>
        <w:rPr>
          <w:rFonts w:ascii="Rockwell" w:hAnsi="Rockwell" w:cs="Rockwell"/>
          <w:sz w:val="24"/>
          <w:szCs w:val="24"/>
          <w:lang w:val="en-GB"/>
        </w:rPr>
      </w:pPr>
    </w:p>
    <w:p w:rsidR="00CE5995" w:rsidRDefault="00983629">
      <w:pPr>
        <w:tabs>
          <w:tab w:val="left" w:pos="720"/>
        </w:tabs>
        <w:spacing w:line="360" w:lineRule="auto"/>
        <w:jc w:val="both"/>
        <w:outlineLvl w:val="0"/>
        <w:rPr>
          <w:rFonts w:ascii="Rockwell" w:hAnsi="Rockwell" w:cs="Rockwell"/>
          <w:b/>
          <w:sz w:val="24"/>
          <w:szCs w:val="24"/>
          <w:lang w:val="en-GB"/>
        </w:rPr>
      </w:pPr>
      <w:bookmarkStart w:id="27" w:name="_Toc23658"/>
      <w:bookmarkStart w:id="28" w:name="_Toc6545"/>
      <w:bookmarkStart w:id="29" w:name="_Toc29260"/>
      <w:r>
        <w:rPr>
          <w:rFonts w:ascii="Rockwell" w:hAnsi="Rockwell" w:cs="Rockwell"/>
          <w:b/>
          <w:sz w:val="24"/>
          <w:szCs w:val="24"/>
          <w:lang w:val="en-GB"/>
        </w:rPr>
        <w:t>1.3</w:t>
      </w:r>
      <w:r w:rsidR="00060D18">
        <w:rPr>
          <w:rFonts w:ascii="Rockwell" w:hAnsi="Rockwell" w:cs="Rockwell"/>
          <w:b/>
          <w:sz w:val="24"/>
          <w:szCs w:val="24"/>
          <w:lang w:val="en-GB"/>
        </w:rPr>
        <w:t xml:space="preserve"> The S</w:t>
      </w:r>
      <w:r w:rsidR="00D37047">
        <w:rPr>
          <w:rFonts w:ascii="Rockwell" w:hAnsi="Rockwell" w:cs="Rockwell"/>
          <w:b/>
          <w:sz w:val="24"/>
          <w:szCs w:val="24"/>
          <w:lang w:val="en-GB"/>
        </w:rPr>
        <w:t>cope</w:t>
      </w:r>
      <w:bookmarkEnd w:id="27"/>
      <w:bookmarkEnd w:id="28"/>
      <w:bookmarkEnd w:id="29"/>
      <w:r w:rsidR="00D37047">
        <w:rPr>
          <w:rFonts w:ascii="Rockwell" w:hAnsi="Rockwell" w:cs="Rockwell"/>
          <w:b/>
          <w:sz w:val="24"/>
          <w:szCs w:val="24"/>
          <w:lang w:val="en-GB"/>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These </w:t>
      </w:r>
      <w:r w:rsidR="00313495">
        <w:rPr>
          <w:rFonts w:ascii="Rockwell" w:hAnsi="Rockwell" w:cs="Rockwell"/>
          <w:sz w:val="24"/>
          <w:szCs w:val="24"/>
        </w:rPr>
        <w:t>Guideline</w:t>
      </w:r>
      <w:r>
        <w:rPr>
          <w:rFonts w:ascii="Rockwell" w:hAnsi="Rockwell" w:cs="Rockwell"/>
          <w:sz w:val="24"/>
          <w:szCs w:val="24"/>
        </w:rPr>
        <w:t xml:space="preserve"> are applicable to the mining sector in Kenya to inform best practices in mine site decommiss</w:t>
      </w:r>
      <w:r w:rsidR="00060D18">
        <w:rPr>
          <w:rFonts w:ascii="Rockwell" w:hAnsi="Rockwell" w:cs="Rockwell"/>
          <w:sz w:val="24"/>
          <w:szCs w:val="24"/>
        </w:rPr>
        <w:t xml:space="preserve">ioning and rehabilitation. The </w:t>
      </w:r>
      <w:r w:rsidR="00313495">
        <w:rPr>
          <w:rFonts w:ascii="Rockwell" w:hAnsi="Rockwell" w:cs="Rockwell"/>
          <w:sz w:val="24"/>
          <w:szCs w:val="24"/>
        </w:rPr>
        <w:t>Guideline</w:t>
      </w:r>
      <w:r>
        <w:rPr>
          <w:rFonts w:ascii="Rockwell" w:hAnsi="Rockwell" w:cs="Rockwell"/>
          <w:sz w:val="24"/>
          <w:szCs w:val="24"/>
        </w:rPr>
        <w:t xml:space="preserve"> shall </w:t>
      </w:r>
      <w:r w:rsidR="00247710">
        <w:rPr>
          <w:rFonts w:ascii="Rockwell" w:hAnsi="Rockwell" w:cs="Rockwell"/>
          <w:sz w:val="24"/>
          <w:szCs w:val="24"/>
        </w:rPr>
        <w:t xml:space="preserve">apply to the </w:t>
      </w:r>
      <w:r w:rsidR="002B14C0">
        <w:rPr>
          <w:rFonts w:ascii="Rockwell" w:hAnsi="Rockwell" w:cs="Rockwell"/>
          <w:sz w:val="24"/>
          <w:szCs w:val="24"/>
        </w:rPr>
        <w:t xml:space="preserve">mining operators, </w:t>
      </w:r>
      <w:r w:rsidR="004D7143">
        <w:rPr>
          <w:rFonts w:ascii="Rockwell" w:hAnsi="Rockwell" w:cs="Rockwell"/>
          <w:sz w:val="24"/>
          <w:szCs w:val="24"/>
        </w:rPr>
        <w:t>MCDAs</w:t>
      </w:r>
      <w:r w:rsidR="002B14C0">
        <w:rPr>
          <w:rFonts w:ascii="Rockwell" w:hAnsi="Rockwell" w:cs="Rockwell"/>
          <w:sz w:val="24"/>
          <w:szCs w:val="24"/>
        </w:rPr>
        <w:t>, environmental experts, private sector, CSOs, communities and mass media</w:t>
      </w:r>
      <w:r>
        <w:rPr>
          <w:rFonts w:ascii="Rockwell" w:hAnsi="Rockwell" w:cs="Rockwell"/>
          <w:sz w:val="24"/>
          <w:szCs w:val="24"/>
        </w:rPr>
        <w:t xml:space="preserve"> in ensuring responsible mining decommissioning and rehabilitation. It</w:t>
      </w:r>
      <w:r w:rsidR="00060D18">
        <w:rPr>
          <w:rFonts w:ascii="Rockwell" w:hAnsi="Rockwell" w:cs="Rockwell"/>
          <w:sz w:val="24"/>
          <w:szCs w:val="24"/>
        </w:rPr>
        <w:t xml:space="preserve"> is further envisaged that the </w:t>
      </w:r>
      <w:r w:rsidR="00313495">
        <w:rPr>
          <w:rFonts w:ascii="Rockwell" w:hAnsi="Rockwell" w:cs="Rockwell"/>
          <w:sz w:val="24"/>
          <w:szCs w:val="24"/>
        </w:rPr>
        <w:t>Guideline</w:t>
      </w:r>
      <w:r w:rsidR="00060D18">
        <w:rPr>
          <w:rFonts w:ascii="Rockwell" w:hAnsi="Rockwell" w:cs="Rockwell"/>
          <w:sz w:val="24"/>
          <w:szCs w:val="24"/>
        </w:rPr>
        <w:t xml:space="preserve"> will contribute to good </w:t>
      </w:r>
      <w:r>
        <w:rPr>
          <w:rFonts w:ascii="Rockwell" w:hAnsi="Rockwell" w:cs="Rockwell"/>
          <w:sz w:val="24"/>
          <w:szCs w:val="24"/>
        </w:rPr>
        <w:t xml:space="preserve">governance through meaningful </w:t>
      </w:r>
      <w:r w:rsidR="00060D18">
        <w:rPr>
          <w:rFonts w:ascii="Rockwell" w:hAnsi="Rockwell" w:cs="Rockwell"/>
          <w:sz w:val="24"/>
          <w:szCs w:val="24"/>
        </w:rPr>
        <w:t xml:space="preserve">engagement </w:t>
      </w:r>
      <w:r w:rsidR="002B14C0">
        <w:rPr>
          <w:rFonts w:ascii="Rockwell" w:hAnsi="Rockwell" w:cs="Rockwell"/>
          <w:sz w:val="24"/>
          <w:szCs w:val="24"/>
        </w:rPr>
        <w:t xml:space="preserve">among the relevant stakeholders </w:t>
      </w:r>
      <w:r>
        <w:rPr>
          <w:rFonts w:ascii="Rockwell" w:hAnsi="Rockwell" w:cs="Rockwell"/>
          <w:sz w:val="24"/>
          <w:szCs w:val="24"/>
        </w:rPr>
        <w:t xml:space="preserve">while ensuring </w:t>
      </w:r>
      <w:r w:rsidR="00060D18">
        <w:rPr>
          <w:rFonts w:ascii="Rockwell" w:hAnsi="Rockwell" w:cs="Rockwell"/>
          <w:sz w:val="24"/>
          <w:szCs w:val="24"/>
        </w:rPr>
        <w:t>environmenta</w:t>
      </w:r>
      <w:r w:rsidR="002B14C0">
        <w:rPr>
          <w:rFonts w:ascii="Rockwell" w:hAnsi="Rockwell" w:cs="Rockwell"/>
          <w:sz w:val="24"/>
          <w:szCs w:val="24"/>
        </w:rPr>
        <w:t xml:space="preserve">l and ecosystem sustainability, </w:t>
      </w:r>
      <w:r w:rsidR="00060D18">
        <w:rPr>
          <w:rFonts w:ascii="Rockwell" w:hAnsi="Rockwell" w:cs="Rockwell"/>
          <w:sz w:val="24"/>
          <w:szCs w:val="24"/>
        </w:rPr>
        <w:t xml:space="preserve">protection of human </w:t>
      </w:r>
      <w:r w:rsidR="00060D18">
        <w:rPr>
          <w:rFonts w:ascii="Rockwell" w:hAnsi="Rockwell" w:cs="Rockwell"/>
          <w:sz w:val="24"/>
          <w:szCs w:val="24"/>
          <w:lang w:val="en-GB"/>
        </w:rPr>
        <w:t xml:space="preserve">health, </w:t>
      </w:r>
      <w:r w:rsidR="002B14C0">
        <w:rPr>
          <w:rFonts w:ascii="Rockwell" w:hAnsi="Rockwell" w:cs="Rockwell"/>
          <w:sz w:val="24"/>
          <w:szCs w:val="24"/>
        </w:rPr>
        <w:t xml:space="preserve">transparency and </w:t>
      </w:r>
      <w:r w:rsidR="00060D18">
        <w:rPr>
          <w:rFonts w:ascii="Rockwell" w:hAnsi="Rockwell" w:cs="Rockwell"/>
          <w:sz w:val="24"/>
          <w:szCs w:val="24"/>
        </w:rPr>
        <w:t>h</w:t>
      </w:r>
      <w:r>
        <w:rPr>
          <w:rFonts w:ascii="Rockwell" w:hAnsi="Rockwell" w:cs="Rockwell"/>
          <w:sz w:val="24"/>
          <w:szCs w:val="24"/>
        </w:rPr>
        <w:t>uman rights considerations in the sector.</w:t>
      </w:r>
    </w:p>
    <w:p w:rsidR="00CE5995" w:rsidRDefault="002B14C0">
      <w:pPr>
        <w:numPr>
          <w:ilvl w:val="255"/>
          <w:numId w:val="0"/>
        </w:numPr>
        <w:spacing w:line="360" w:lineRule="auto"/>
        <w:jc w:val="both"/>
        <w:rPr>
          <w:rFonts w:ascii="Rockwell" w:hAnsi="Rockwell" w:cs="Rockwell"/>
          <w:sz w:val="24"/>
          <w:szCs w:val="24"/>
        </w:rPr>
      </w:pPr>
      <w:r>
        <w:rPr>
          <w:rFonts w:ascii="Rockwell" w:hAnsi="Rockwell" w:cs="Rockwell"/>
          <w:sz w:val="24"/>
          <w:szCs w:val="24"/>
        </w:rPr>
        <w:t>The Guideline will</w:t>
      </w:r>
      <w:r w:rsidR="00D37047">
        <w:rPr>
          <w:rFonts w:ascii="Rockwell" w:hAnsi="Rockwell" w:cs="Rockwell"/>
          <w:sz w:val="24"/>
          <w:szCs w:val="24"/>
        </w:rPr>
        <w:t xml:space="preserve"> also be</w:t>
      </w:r>
      <w:r w:rsidR="00D37047">
        <w:rPr>
          <w:rFonts w:ascii="Rockwell" w:hAnsi="Rockwell" w:cs="Rockwell"/>
          <w:sz w:val="24"/>
          <w:szCs w:val="24"/>
          <w:lang w:val="en-GB"/>
        </w:rPr>
        <w:t xml:space="preserve"> used </w:t>
      </w:r>
      <w:r>
        <w:rPr>
          <w:rFonts w:ascii="Rockwell" w:hAnsi="Rockwell" w:cs="Rockwell"/>
          <w:sz w:val="24"/>
          <w:szCs w:val="24"/>
        </w:rPr>
        <w:t>during reviews of the relevant</w:t>
      </w:r>
      <w:r w:rsidR="00D37047">
        <w:rPr>
          <w:rFonts w:ascii="Rockwell" w:hAnsi="Rockwell" w:cs="Rockwell"/>
          <w:sz w:val="24"/>
          <w:szCs w:val="24"/>
        </w:rPr>
        <w:t xml:space="preserve"> </w:t>
      </w:r>
      <w:r>
        <w:rPr>
          <w:rFonts w:ascii="Rockwell" w:hAnsi="Rockwell" w:cs="Rockwell"/>
          <w:sz w:val="24"/>
          <w:szCs w:val="24"/>
        </w:rPr>
        <w:t>E</w:t>
      </w:r>
      <w:r w:rsidR="00D37047">
        <w:rPr>
          <w:rFonts w:ascii="Rockwell" w:hAnsi="Rockwell" w:cs="Rockwell"/>
          <w:sz w:val="24"/>
          <w:szCs w:val="24"/>
        </w:rPr>
        <w:t xml:space="preserve">nvironmental and </w:t>
      </w:r>
      <w:r>
        <w:rPr>
          <w:rFonts w:ascii="Rockwell" w:hAnsi="Rockwell" w:cs="Rockwell"/>
          <w:sz w:val="24"/>
          <w:szCs w:val="24"/>
        </w:rPr>
        <w:t xml:space="preserve">Social Impact Assessment (ESIA) </w:t>
      </w:r>
      <w:r w:rsidR="00D37047">
        <w:rPr>
          <w:rFonts w:ascii="Rockwell" w:hAnsi="Rockwell" w:cs="Rockwell"/>
          <w:sz w:val="24"/>
          <w:szCs w:val="24"/>
        </w:rPr>
        <w:t>reports, Environmental and Social Management Plans</w:t>
      </w:r>
      <w:r>
        <w:rPr>
          <w:rFonts w:ascii="Rockwell" w:hAnsi="Rockwell" w:cs="Rockwell"/>
          <w:sz w:val="24"/>
          <w:szCs w:val="24"/>
        </w:rPr>
        <w:t xml:space="preserve"> (ESMPs)</w:t>
      </w:r>
      <w:r w:rsidR="00D37047">
        <w:rPr>
          <w:rFonts w:ascii="Rockwell" w:hAnsi="Rockwell" w:cs="Rockwell"/>
          <w:sz w:val="24"/>
          <w:szCs w:val="24"/>
        </w:rPr>
        <w:t>, during inspections of the mine</w:t>
      </w:r>
      <w:r w:rsidR="00D37047">
        <w:rPr>
          <w:rFonts w:ascii="Rockwell" w:hAnsi="Rockwell" w:cs="Rockwell"/>
          <w:sz w:val="24"/>
          <w:szCs w:val="24"/>
          <w:lang w:val="en-GB"/>
        </w:rPr>
        <w:t xml:space="preserve"> sites</w:t>
      </w:r>
      <w:r>
        <w:rPr>
          <w:rFonts w:ascii="Rockwell" w:hAnsi="Rockwell" w:cs="Rockwell"/>
          <w:sz w:val="24"/>
          <w:szCs w:val="24"/>
        </w:rPr>
        <w:t>, compliance monitoring and environmental a</w:t>
      </w:r>
      <w:r w:rsidR="00D37047">
        <w:rPr>
          <w:rFonts w:ascii="Rockwell" w:hAnsi="Rockwell" w:cs="Rockwell"/>
          <w:sz w:val="24"/>
          <w:szCs w:val="24"/>
        </w:rPr>
        <w:t>uditing.</w:t>
      </w: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402EF9" w:rsidRDefault="00402EF9">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893BEF" w:rsidRDefault="00893BEF">
      <w:pPr>
        <w:numPr>
          <w:ilvl w:val="255"/>
          <w:numId w:val="0"/>
        </w:numPr>
        <w:spacing w:line="360" w:lineRule="auto"/>
        <w:jc w:val="both"/>
        <w:rPr>
          <w:rFonts w:ascii="Rockwell" w:hAnsi="Rockwell" w:cs="Rockwell"/>
          <w:sz w:val="24"/>
          <w:szCs w:val="24"/>
        </w:rPr>
      </w:pPr>
    </w:p>
    <w:p w:rsidR="001F49C0" w:rsidRDefault="001F49C0" w:rsidP="005B3268">
      <w:pPr>
        <w:tabs>
          <w:tab w:val="left" w:pos="720"/>
        </w:tabs>
        <w:spacing w:line="360" w:lineRule="auto"/>
        <w:jc w:val="center"/>
        <w:rPr>
          <w:rFonts w:ascii="Rockwell" w:hAnsi="Rockwell" w:cs="Rockwell"/>
          <w:b/>
          <w:sz w:val="24"/>
          <w:szCs w:val="24"/>
          <w:lang w:val="en-GB"/>
        </w:rPr>
      </w:pPr>
    </w:p>
    <w:p w:rsidR="00CE5995" w:rsidRDefault="005B3268" w:rsidP="005B3268">
      <w:pPr>
        <w:tabs>
          <w:tab w:val="left" w:pos="720"/>
        </w:tabs>
        <w:spacing w:line="360" w:lineRule="auto"/>
        <w:jc w:val="center"/>
        <w:rPr>
          <w:rFonts w:ascii="Rockwell" w:hAnsi="Rockwell" w:cs="Rockwell"/>
          <w:b/>
          <w:sz w:val="24"/>
          <w:szCs w:val="24"/>
          <w:lang w:val="en-GB"/>
        </w:rPr>
      </w:pPr>
      <w:r w:rsidRPr="008E70A5">
        <w:rPr>
          <w:rFonts w:ascii="Rockwell" w:hAnsi="Rockwell" w:cs="Rockwell"/>
          <w:b/>
          <w:sz w:val="24"/>
          <w:szCs w:val="24"/>
          <w:lang w:val="en-GB"/>
        </w:rPr>
        <w:t>CHAPTER TWO</w:t>
      </w:r>
      <w:r w:rsidR="00402EF9">
        <w:rPr>
          <w:rFonts w:ascii="Rockwell" w:hAnsi="Rockwell" w:cs="Rockwell"/>
          <w:b/>
          <w:sz w:val="24"/>
          <w:szCs w:val="24"/>
          <w:lang w:val="en-GB"/>
        </w:rPr>
        <w:t xml:space="preserve">: </w:t>
      </w:r>
      <w:bookmarkStart w:id="30" w:name="_Toc5369"/>
      <w:bookmarkStart w:id="31" w:name="_Toc5911"/>
      <w:bookmarkStart w:id="32" w:name="_Toc31344"/>
      <w:r w:rsidR="00402EF9">
        <w:rPr>
          <w:rFonts w:ascii="Rockwell" w:hAnsi="Rockwell" w:cs="Rockwell"/>
          <w:b/>
          <w:sz w:val="24"/>
          <w:szCs w:val="24"/>
        </w:rPr>
        <w:t>POLICY, LEGAL AND INSTITUTIONAL FRAMEWORK</w:t>
      </w:r>
      <w:bookmarkEnd w:id="30"/>
      <w:bookmarkEnd w:id="31"/>
      <w:bookmarkEnd w:id="32"/>
      <w:r w:rsidR="00402EF9">
        <w:rPr>
          <w:rFonts w:ascii="Rockwell" w:hAnsi="Rockwell" w:cs="Rockwell"/>
          <w:b/>
          <w:sz w:val="24"/>
          <w:szCs w:val="24"/>
        </w:rPr>
        <w:t>S</w:t>
      </w:r>
    </w:p>
    <w:p w:rsidR="00CE5995" w:rsidRDefault="00D37047">
      <w:pPr>
        <w:pStyle w:val="ListParagraph"/>
        <w:numPr>
          <w:ilvl w:val="255"/>
          <w:numId w:val="0"/>
        </w:numPr>
        <w:spacing w:line="360" w:lineRule="auto"/>
        <w:ind w:left="360"/>
        <w:jc w:val="both"/>
        <w:outlineLvl w:val="0"/>
        <w:rPr>
          <w:rFonts w:ascii="Rockwell" w:hAnsi="Rockwell" w:cs="Rockwell"/>
          <w:b/>
          <w:sz w:val="24"/>
          <w:szCs w:val="24"/>
        </w:rPr>
      </w:pPr>
      <w:bookmarkStart w:id="33" w:name="_Toc32667"/>
      <w:bookmarkStart w:id="34" w:name="_Toc28050"/>
      <w:bookmarkStart w:id="35" w:name="_Toc6224"/>
      <w:r>
        <w:rPr>
          <w:rFonts w:ascii="Rockwell" w:hAnsi="Rockwell" w:cs="Rockwell"/>
          <w:b/>
          <w:sz w:val="24"/>
          <w:szCs w:val="24"/>
        </w:rPr>
        <w:t>2.</w:t>
      </w:r>
      <w:r>
        <w:rPr>
          <w:rFonts w:ascii="Rockwell" w:hAnsi="Rockwell" w:cs="Rockwell"/>
          <w:b/>
          <w:sz w:val="24"/>
          <w:szCs w:val="24"/>
          <w:lang w:val="en-GB"/>
        </w:rPr>
        <w:t>1</w:t>
      </w:r>
      <w:r>
        <w:rPr>
          <w:rFonts w:ascii="Rockwell" w:hAnsi="Rockwell" w:cs="Rockwell"/>
          <w:b/>
          <w:sz w:val="24"/>
          <w:szCs w:val="24"/>
        </w:rPr>
        <w:t xml:space="preserve"> Constitution of Kenya</w:t>
      </w:r>
      <w:bookmarkEnd w:id="33"/>
      <w:bookmarkEnd w:id="34"/>
      <w:bookmarkEnd w:id="35"/>
      <w:r w:rsidR="00B12381">
        <w:rPr>
          <w:rFonts w:ascii="Rockwell" w:hAnsi="Rockwell" w:cs="Rockwell"/>
          <w:b/>
          <w:sz w:val="24"/>
          <w:szCs w:val="24"/>
        </w:rPr>
        <w:t>, 2010</w:t>
      </w:r>
    </w:p>
    <w:p w:rsidR="00B12381" w:rsidRDefault="00D37047">
      <w:pPr>
        <w:spacing w:line="360" w:lineRule="auto"/>
        <w:jc w:val="both"/>
        <w:rPr>
          <w:rFonts w:ascii="Rockwell" w:hAnsi="Rockwell" w:cs="Rockwell"/>
          <w:sz w:val="24"/>
          <w:szCs w:val="24"/>
        </w:rPr>
      </w:pPr>
      <w:r>
        <w:rPr>
          <w:rFonts w:ascii="Rockwell" w:hAnsi="Rockwell" w:cs="Rockwell"/>
          <w:sz w:val="24"/>
          <w:szCs w:val="24"/>
        </w:rPr>
        <w:t>Article 42 of the C</w:t>
      </w:r>
      <w:r w:rsidR="00B12381">
        <w:rPr>
          <w:rFonts w:ascii="Rockwell" w:hAnsi="Rockwell" w:cs="Rockwell"/>
          <w:sz w:val="24"/>
          <w:szCs w:val="24"/>
        </w:rPr>
        <w:t>onstitution on e</w:t>
      </w:r>
      <w:r>
        <w:rPr>
          <w:rFonts w:ascii="Rockwell" w:hAnsi="Rockwell" w:cs="Rockwell"/>
          <w:sz w:val="24"/>
          <w:szCs w:val="24"/>
        </w:rPr>
        <w:t>nvironme</w:t>
      </w:r>
      <w:r w:rsidR="00B12381">
        <w:rPr>
          <w:rFonts w:ascii="Rockwell" w:hAnsi="Rockwell" w:cs="Rockwell"/>
          <w:sz w:val="24"/>
          <w:szCs w:val="24"/>
        </w:rPr>
        <w:t>nt states that e</w:t>
      </w:r>
      <w:r>
        <w:rPr>
          <w:rFonts w:ascii="Rockwell" w:hAnsi="Rockwell" w:cs="Rockwell"/>
          <w:sz w:val="24"/>
          <w:szCs w:val="24"/>
        </w:rPr>
        <w:t>very person has the right to a clean and healthy enviro</w:t>
      </w:r>
      <w:r w:rsidR="00B12381">
        <w:rPr>
          <w:rFonts w:ascii="Rockwell" w:hAnsi="Rockwell" w:cs="Rockwell"/>
          <w:sz w:val="24"/>
          <w:szCs w:val="24"/>
        </w:rPr>
        <w:t xml:space="preserve">nment, which includes the right: </w:t>
      </w:r>
    </w:p>
    <w:p w:rsidR="00B12381" w:rsidRDefault="00D37047" w:rsidP="00B12381">
      <w:pPr>
        <w:spacing w:line="360" w:lineRule="auto"/>
        <w:ind w:left="720"/>
        <w:jc w:val="both"/>
        <w:rPr>
          <w:rFonts w:ascii="Rockwell" w:hAnsi="Rockwell" w:cs="Rockwell"/>
          <w:sz w:val="24"/>
          <w:szCs w:val="24"/>
        </w:rPr>
      </w:pPr>
      <w:r>
        <w:rPr>
          <w:rFonts w:ascii="Rockwell" w:hAnsi="Rockwell" w:cs="Rockwell"/>
          <w:sz w:val="24"/>
          <w:szCs w:val="24"/>
        </w:rPr>
        <w:t xml:space="preserve">(a) to have the environment protected for the benefit of present and future generations through legislative and other measures, particularly those contemplated in Article 69; and </w:t>
      </w:r>
    </w:p>
    <w:p w:rsidR="00CE5995" w:rsidRDefault="00D37047" w:rsidP="00B12381">
      <w:pPr>
        <w:spacing w:line="360" w:lineRule="auto"/>
        <w:ind w:firstLine="720"/>
        <w:jc w:val="both"/>
        <w:rPr>
          <w:rFonts w:ascii="Rockwell" w:hAnsi="Rockwell" w:cs="Rockwell"/>
          <w:sz w:val="24"/>
          <w:szCs w:val="24"/>
        </w:rPr>
      </w:pPr>
      <w:r>
        <w:rPr>
          <w:rFonts w:ascii="Rockwell" w:hAnsi="Rockwell" w:cs="Rockwell"/>
          <w:sz w:val="24"/>
          <w:szCs w:val="24"/>
        </w:rPr>
        <w:t>(b) to have obligations relating to the environment fulfilled under Article 70.</w:t>
      </w:r>
    </w:p>
    <w:p w:rsidR="008E70A5" w:rsidRDefault="008E70A5">
      <w:pPr>
        <w:spacing w:line="360" w:lineRule="auto"/>
        <w:jc w:val="both"/>
        <w:outlineLvl w:val="0"/>
        <w:rPr>
          <w:rFonts w:ascii="Rockwell" w:hAnsi="Rockwell" w:cs="Rockwell"/>
          <w:b/>
          <w:sz w:val="24"/>
          <w:szCs w:val="24"/>
          <w:lang w:val="en-GB"/>
        </w:rPr>
      </w:pPr>
      <w:bookmarkStart w:id="36" w:name="_Toc29812"/>
      <w:bookmarkStart w:id="37" w:name="_Toc10858"/>
      <w:bookmarkStart w:id="38" w:name="_Toc21432"/>
    </w:p>
    <w:p w:rsidR="00CE5995" w:rsidRDefault="00D37047">
      <w:pPr>
        <w:spacing w:line="360" w:lineRule="auto"/>
        <w:jc w:val="both"/>
        <w:outlineLvl w:val="0"/>
        <w:rPr>
          <w:rFonts w:ascii="Rockwell" w:hAnsi="Rockwell" w:cs="Rockwell"/>
          <w:b/>
          <w:sz w:val="24"/>
          <w:szCs w:val="24"/>
          <w:lang w:val="en-GB"/>
        </w:rPr>
      </w:pPr>
      <w:r>
        <w:rPr>
          <w:rFonts w:ascii="Rockwell" w:hAnsi="Rockwell" w:cs="Rockwell"/>
          <w:b/>
          <w:sz w:val="24"/>
          <w:szCs w:val="24"/>
          <w:lang w:val="en-GB"/>
        </w:rPr>
        <w:t xml:space="preserve">2.2 </w:t>
      </w:r>
      <w:bookmarkEnd w:id="36"/>
      <w:bookmarkEnd w:id="37"/>
      <w:bookmarkEnd w:id="38"/>
      <w:r w:rsidR="008C5CF8">
        <w:rPr>
          <w:rFonts w:ascii="Rockwell" w:hAnsi="Rockwell" w:cs="Rockwell"/>
          <w:b/>
          <w:sz w:val="24"/>
          <w:szCs w:val="24"/>
          <w:lang w:val="en-GB"/>
        </w:rPr>
        <w:t xml:space="preserve">Relevant </w:t>
      </w:r>
      <w:r w:rsidR="008C5CF8">
        <w:rPr>
          <w:rFonts w:ascii="Rockwell" w:hAnsi="Rockwell" w:cs="Rockwell"/>
          <w:b/>
          <w:sz w:val="24"/>
          <w:szCs w:val="24"/>
        </w:rPr>
        <w:t>National Policy, Legal</w:t>
      </w:r>
      <w:r>
        <w:rPr>
          <w:rFonts w:ascii="Rockwell" w:hAnsi="Rockwell" w:cs="Rockwell"/>
          <w:b/>
          <w:sz w:val="24"/>
          <w:szCs w:val="24"/>
          <w:lang w:val="en-GB"/>
        </w:rPr>
        <w:t xml:space="preserve"> </w:t>
      </w:r>
      <w:r w:rsidR="008C5CF8">
        <w:rPr>
          <w:rFonts w:ascii="Rockwell" w:hAnsi="Rockwell" w:cs="Rockwell"/>
          <w:b/>
          <w:sz w:val="24"/>
          <w:szCs w:val="24"/>
          <w:lang w:val="en-GB"/>
        </w:rPr>
        <w:t>and Institutional framework</w:t>
      </w:r>
    </w:p>
    <w:p w:rsidR="00D23F61" w:rsidRPr="00D23F61" w:rsidRDefault="00D23F61">
      <w:pPr>
        <w:spacing w:line="360" w:lineRule="auto"/>
        <w:jc w:val="both"/>
        <w:outlineLvl w:val="0"/>
        <w:rPr>
          <w:rFonts w:ascii="Rockwell" w:hAnsi="Rockwell" w:cs="Rockwell"/>
          <w:sz w:val="24"/>
          <w:szCs w:val="24"/>
          <w:lang w:val="en-GB"/>
        </w:rPr>
      </w:pPr>
      <w:r w:rsidRPr="00D23F61">
        <w:rPr>
          <w:rFonts w:ascii="Rockwell" w:hAnsi="Rockwell" w:cs="Rockwell"/>
          <w:sz w:val="24"/>
          <w:szCs w:val="24"/>
          <w:lang w:val="en-GB"/>
        </w:rPr>
        <w:t>There are other policy, legal and institutional framework that enable the functioning of the Constitution. The matrix below highlights the relevant statues.</w:t>
      </w:r>
    </w:p>
    <w:p w:rsidR="00D23F61" w:rsidRDefault="00D23F61">
      <w:pPr>
        <w:spacing w:line="360" w:lineRule="auto"/>
        <w:jc w:val="both"/>
        <w:outlineLvl w:val="0"/>
        <w:rPr>
          <w:rFonts w:ascii="Rockwell" w:hAnsi="Rockwell" w:cs="Rockwell"/>
          <w:b/>
          <w:sz w:val="24"/>
          <w:szCs w:val="24"/>
          <w:lang w:val="en-GB"/>
        </w:rPr>
      </w:pPr>
    </w:p>
    <w:p w:rsidR="00CE5995" w:rsidRDefault="00D37047">
      <w:pPr>
        <w:spacing w:line="360" w:lineRule="auto"/>
        <w:jc w:val="both"/>
        <w:rPr>
          <w:rFonts w:ascii="Rockwell" w:hAnsi="Rockwell" w:cs="Rockwell"/>
          <w:b/>
          <w:sz w:val="24"/>
          <w:szCs w:val="24"/>
        </w:rPr>
      </w:pPr>
      <w:bookmarkStart w:id="39" w:name="_Toc25247"/>
      <w:r>
        <w:rPr>
          <w:rFonts w:ascii="Rockwell" w:hAnsi="Rockwell" w:cs="Rockwell"/>
          <w:b/>
          <w:sz w:val="24"/>
          <w:szCs w:val="24"/>
        </w:rPr>
        <w:t>Table 1:</w:t>
      </w:r>
      <w:r w:rsidR="00247710">
        <w:rPr>
          <w:rFonts w:ascii="Rockwell" w:hAnsi="Rockwell" w:cs="Rockwell"/>
          <w:b/>
          <w:sz w:val="24"/>
          <w:szCs w:val="24"/>
        </w:rPr>
        <w:t xml:space="preserve"> </w:t>
      </w:r>
      <w:r>
        <w:rPr>
          <w:rFonts w:ascii="Rockwell" w:hAnsi="Rockwell" w:cs="Rockwell"/>
          <w:b/>
          <w:sz w:val="24"/>
          <w:szCs w:val="24"/>
        </w:rPr>
        <w:t>Policy, Legal and Institutional Framework</w:t>
      </w:r>
      <w:r w:rsidR="00420D0B">
        <w:rPr>
          <w:rFonts w:ascii="Rockwell" w:hAnsi="Rockwell" w:cs="Rockwell"/>
          <w:b/>
          <w:sz w:val="24"/>
          <w:szCs w:val="24"/>
        </w:rPr>
        <w:t>s</w:t>
      </w:r>
      <w:r>
        <w:rPr>
          <w:rFonts w:ascii="Rockwell" w:hAnsi="Rockwell" w:cs="Rockwell"/>
          <w:b/>
          <w:sz w:val="24"/>
          <w:szCs w:val="24"/>
        </w:rPr>
        <w:t xml:space="preserve"> Matrix</w:t>
      </w:r>
      <w:bookmarkEnd w:id="39"/>
    </w:p>
    <w:tbl>
      <w:tblPr>
        <w:tblStyle w:val="TableGrid"/>
        <w:tblW w:w="11199" w:type="dxa"/>
        <w:tblInd w:w="-714" w:type="dxa"/>
        <w:tblLayout w:type="fixed"/>
        <w:tblLook w:val="04A0" w:firstRow="1" w:lastRow="0" w:firstColumn="1" w:lastColumn="0" w:noHBand="0" w:noVBand="1"/>
      </w:tblPr>
      <w:tblGrid>
        <w:gridCol w:w="709"/>
        <w:gridCol w:w="993"/>
        <w:gridCol w:w="2126"/>
        <w:gridCol w:w="2126"/>
        <w:gridCol w:w="2977"/>
        <w:gridCol w:w="2268"/>
      </w:tblGrid>
      <w:tr w:rsidR="00E0152C" w:rsidTr="008E70A5">
        <w:trPr>
          <w:trHeight w:val="340"/>
        </w:trPr>
        <w:tc>
          <w:tcPr>
            <w:tcW w:w="709" w:type="dxa"/>
          </w:tcPr>
          <w:p w:rsidR="00E0152C" w:rsidRDefault="00E0152C" w:rsidP="00D23F61">
            <w:pPr>
              <w:spacing w:line="360" w:lineRule="auto"/>
              <w:jc w:val="both"/>
              <w:rPr>
                <w:rFonts w:ascii="Rockwell" w:hAnsi="Rockwell" w:cs="Rockwell"/>
                <w:b/>
              </w:rPr>
            </w:pPr>
            <w:r>
              <w:rPr>
                <w:rFonts w:ascii="Rockwell" w:hAnsi="Rockwell" w:cs="Rockwell"/>
                <w:b/>
              </w:rPr>
              <w:t>No.</w:t>
            </w:r>
          </w:p>
        </w:tc>
        <w:tc>
          <w:tcPr>
            <w:tcW w:w="3119" w:type="dxa"/>
            <w:gridSpan w:val="2"/>
          </w:tcPr>
          <w:p w:rsidR="00E0152C" w:rsidRDefault="00E0152C" w:rsidP="00D23F61">
            <w:pPr>
              <w:spacing w:line="360" w:lineRule="auto"/>
              <w:jc w:val="both"/>
              <w:rPr>
                <w:rFonts w:ascii="Rockwell" w:hAnsi="Rockwell" w:cs="Rockwell"/>
                <w:b/>
              </w:rPr>
            </w:pPr>
            <w:r>
              <w:rPr>
                <w:rFonts w:ascii="Rockwell" w:hAnsi="Rockwell" w:cs="Rockwell"/>
                <w:b/>
              </w:rPr>
              <w:t>Policy and Legal Frameworks</w:t>
            </w:r>
          </w:p>
        </w:tc>
        <w:tc>
          <w:tcPr>
            <w:tcW w:w="2126" w:type="dxa"/>
          </w:tcPr>
          <w:p w:rsidR="00E0152C" w:rsidRDefault="00E0152C" w:rsidP="00D23F61">
            <w:pPr>
              <w:spacing w:line="360" w:lineRule="auto"/>
              <w:jc w:val="both"/>
              <w:rPr>
                <w:rFonts w:ascii="Rockwell" w:hAnsi="Rockwell" w:cs="Rockwell"/>
                <w:b/>
              </w:rPr>
            </w:pPr>
            <w:r>
              <w:rPr>
                <w:rFonts w:ascii="Rockwell" w:hAnsi="Rockwell" w:cs="Rockwell"/>
                <w:b/>
              </w:rPr>
              <w:t>Key Applicable Provisions</w:t>
            </w:r>
          </w:p>
        </w:tc>
        <w:tc>
          <w:tcPr>
            <w:tcW w:w="2977" w:type="dxa"/>
          </w:tcPr>
          <w:p w:rsidR="00E0152C" w:rsidRDefault="00E0152C" w:rsidP="00D23F61">
            <w:pPr>
              <w:spacing w:line="360" w:lineRule="auto"/>
              <w:jc w:val="both"/>
              <w:rPr>
                <w:rFonts w:ascii="Rockwell" w:hAnsi="Rockwell" w:cs="Rockwell"/>
                <w:b/>
              </w:rPr>
            </w:pPr>
            <w:r>
              <w:rPr>
                <w:rFonts w:ascii="Rockwell" w:hAnsi="Rockwell" w:cs="Rockwell"/>
                <w:b/>
              </w:rPr>
              <w:t>Regulations</w:t>
            </w:r>
          </w:p>
        </w:tc>
        <w:tc>
          <w:tcPr>
            <w:tcW w:w="2268" w:type="dxa"/>
          </w:tcPr>
          <w:p w:rsidR="00E0152C" w:rsidRDefault="00E0152C" w:rsidP="00D23F61">
            <w:pPr>
              <w:spacing w:line="360" w:lineRule="auto"/>
              <w:jc w:val="both"/>
              <w:rPr>
                <w:rFonts w:ascii="Rockwell" w:hAnsi="Rockwell" w:cs="Rockwell"/>
                <w:b/>
              </w:rPr>
            </w:pPr>
            <w:r>
              <w:rPr>
                <w:rFonts w:ascii="Rockwell" w:hAnsi="Rockwell" w:cs="Rockwell"/>
                <w:b/>
              </w:rPr>
              <w:t>Institutions</w:t>
            </w:r>
          </w:p>
        </w:tc>
      </w:tr>
      <w:tr w:rsidR="00E0152C" w:rsidTr="008E70A5">
        <w:trPr>
          <w:trHeight w:val="1381"/>
        </w:trPr>
        <w:tc>
          <w:tcPr>
            <w:tcW w:w="709" w:type="dxa"/>
          </w:tcPr>
          <w:p w:rsidR="00E0152C" w:rsidRDefault="00E86FA0" w:rsidP="00D23F61">
            <w:pPr>
              <w:spacing w:line="360" w:lineRule="auto"/>
              <w:jc w:val="both"/>
              <w:rPr>
                <w:rFonts w:ascii="Rockwell" w:hAnsi="Rockwell" w:cs="Rockwell"/>
                <w:bCs/>
              </w:rPr>
            </w:pPr>
            <w:r>
              <w:rPr>
                <w:rFonts w:ascii="Rockwell" w:hAnsi="Rockwell" w:cs="Rockwell"/>
                <w:bCs/>
              </w:rPr>
              <w:t>1</w:t>
            </w:r>
            <w:r w:rsidR="00E0152C">
              <w:rPr>
                <w:rFonts w:ascii="Rockwell" w:hAnsi="Rockwell" w:cs="Rockwell"/>
                <w:bCs/>
              </w:rPr>
              <w:t>.</w:t>
            </w:r>
          </w:p>
        </w:tc>
        <w:tc>
          <w:tcPr>
            <w:tcW w:w="993" w:type="dxa"/>
            <w:vMerge w:val="restart"/>
          </w:tcPr>
          <w:p w:rsidR="00E0152C" w:rsidRDefault="00E0152C" w:rsidP="00D23F61">
            <w:pPr>
              <w:spacing w:line="360" w:lineRule="auto"/>
              <w:jc w:val="both"/>
              <w:rPr>
                <w:rFonts w:ascii="Rockwell" w:hAnsi="Rockwell" w:cs="Rockwell"/>
                <w:bCs/>
              </w:rPr>
            </w:pPr>
            <w:r>
              <w:rPr>
                <w:rFonts w:ascii="Rockwell" w:hAnsi="Rockwell" w:cs="Rockwell"/>
                <w:bCs/>
              </w:rPr>
              <w:t>Policy</w:t>
            </w:r>
          </w:p>
        </w:tc>
        <w:tc>
          <w:tcPr>
            <w:tcW w:w="2126" w:type="dxa"/>
          </w:tcPr>
          <w:p w:rsidR="00E0152C" w:rsidRDefault="00E0152C" w:rsidP="00D23F61">
            <w:pPr>
              <w:spacing w:line="360" w:lineRule="auto"/>
              <w:jc w:val="both"/>
              <w:rPr>
                <w:rFonts w:ascii="Rockwell" w:hAnsi="Rockwell" w:cs="Rockwell"/>
                <w:bCs/>
                <w:lang w:val="en-GB"/>
              </w:rPr>
            </w:pPr>
            <w:r>
              <w:rPr>
                <w:rFonts w:ascii="Rockwell" w:hAnsi="Rockwell" w:cs="Rockwell"/>
                <w:bCs/>
              </w:rPr>
              <w:t>National Environment Policy</w:t>
            </w:r>
            <w:r>
              <w:rPr>
                <w:rFonts w:ascii="Rockwell" w:hAnsi="Rockwell" w:cs="Rockwell"/>
                <w:bCs/>
                <w:lang w:val="en-GB"/>
              </w:rPr>
              <w:t xml:space="preserve">, </w:t>
            </w:r>
            <w:r>
              <w:rPr>
                <w:rFonts w:ascii="Rockwell" w:hAnsi="Rockwell" w:cs="Rockwell"/>
                <w:bCs/>
              </w:rPr>
              <w:t xml:space="preserve">sessional paper no 10 of </w:t>
            </w:r>
            <w:r>
              <w:rPr>
                <w:rFonts w:ascii="Rockwell" w:hAnsi="Rockwell" w:cs="Rockwell"/>
                <w:bCs/>
                <w:lang w:val="en-GB"/>
              </w:rPr>
              <w:t>2013</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 xml:space="preserve">Chapter 4 which also covers minerals in Kenya which encourages sustainable mining </w:t>
            </w: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 xml:space="preserve">Ministry of Environment and Forestry, NEMA, </w:t>
            </w:r>
          </w:p>
        </w:tc>
      </w:tr>
      <w:tr w:rsidR="00E0152C" w:rsidTr="00555DAF">
        <w:trPr>
          <w:trHeight w:val="1545"/>
        </w:trPr>
        <w:tc>
          <w:tcPr>
            <w:tcW w:w="709" w:type="dxa"/>
          </w:tcPr>
          <w:p w:rsidR="00E0152C" w:rsidRDefault="00E0152C" w:rsidP="00D23F61">
            <w:pPr>
              <w:spacing w:line="360" w:lineRule="auto"/>
              <w:jc w:val="both"/>
              <w:rPr>
                <w:rFonts w:ascii="Rockwell" w:hAnsi="Rockwell" w:cs="Rockwell"/>
                <w:bCs/>
              </w:rPr>
            </w:pPr>
          </w:p>
        </w:tc>
        <w:tc>
          <w:tcPr>
            <w:tcW w:w="993" w:type="dxa"/>
            <w:vMerge/>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lang w:val="en-GB"/>
              </w:rPr>
            </w:pPr>
            <w:r>
              <w:rPr>
                <w:rFonts w:ascii="Rockwell" w:hAnsi="Rockwell" w:cs="Rockwell"/>
                <w:bCs/>
              </w:rPr>
              <w:t xml:space="preserve">Mining </w:t>
            </w:r>
            <w:r>
              <w:rPr>
                <w:rFonts w:ascii="Rockwell" w:hAnsi="Rockwell" w:cs="Rockwell"/>
                <w:bCs/>
                <w:lang w:val="en-GB"/>
              </w:rPr>
              <w:t xml:space="preserve">and Minerals </w:t>
            </w:r>
            <w:r>
              <w:rPr>
                <w:rFonts w:ascii="Rockwell" w:hAnsi="Rockwell" w:cs="Rockwell"/>
                <w:bCs/>
              </w:rPr>
              <w:t>Policy</w:t>
            </w:r>
            <w:r>
              <w:rPr>
                <w:rFonts w:ascii="Rockwell" w:hAnsi="Rockwell" w:cs="Rockwell"/>
                <w:bCs/>
                <w:lang w:val="en-GB"/>
              </w:rPr>
              <w:t xml:space="preserve">, </w:t>
            </w:r>
            <w:r>
              <w:rPr>
                <w:rFonts w:ascii="Rockwell" w:hAnsi="Rockwell" w:cs="Rockwell"/>
                <w:bCs/>
              </w:rPr>
              <w:t xml:space="preserve">sessional paper no 7 of </w:t>
            </w:r>
            <w:r>
              <w:rPr>
                <w:rFonts w:ascii="Rockwell" w:hAnsi="Rockwell" w:cs="Rockwell"/>
                <w:bCs/>
                <w:lang w:val="en-GB"/>
              </w:rPr>
              <w:t>2016</w:t>
            </w:r>
          </w:p>
        </w:tc>
        <w:tc>
          <w:tcPr>
            <w:tcW w:w="2126" w:type="dxa"/>
          </w:tcPr>
          <w:p w:rsidR="000A426A" w:rsidRDefault="000A426A" w:rsidP="00D23F61">
            <w:pPr>
              <w:spacing w:line="360" w:lineRule="auto"/>
              <w:jc w:val="both"/>
              <w:rPr>
                <w:rFonts w:ascii="Rockwell" w:hAnsi="Rockwell" w:cs="Rockwell"/>
                <w:bCs/>
              </w:rPr>
            </w:pPr>
            <w:r>
              <w:rPr>
                <w:rFonts w:ascii="Rockwell" w:hAnsi="Rockwell" w:cs="Rockwell"/>
                <w:bCs/>
              </w:rPr>
              <w:t>Mining Act</w:t>
            </w:r>
            <w:r w:rsidR="00EA37AB">
              <w:rPr>
                <w:rFonts w:ascii="Rockwell" w:hAnsi="Rockwell" w:cs="Rockwell"/>
                <w:bCs/>
              </w:rPr>
              <w:t xml:space="preserve"> 2016</w:t>
            </w:r>
            <w:r>
              <w:rPr>
                <w:rFonts w:ascii="Rockwell" w:hAnsi="Rockwell" w:cs="Rockwell"/>
                <w:bCs/>
              </w:rPr>
              <w:t xml:space="preserve"> and the Mining Regulations</w:t>
            </w:r>
          </w:p>
          <w:p w:rsidR="00EA37AB" w:rsidRDefault="00EA37AB" w:rsidP="00D23F61">
            <w:pPr>
              <w:spacing w:line="360" w:lineRule="auto"/>
              <w:jc w:val="both"/>
              <w:rPr>
                <w:rFonts w:ascii="Rockwell" w:hAnsi="Rockwell" w:cs="Rockwell"/>
                <w:bCs/>
              </w:rPr>
            </w:pPr>
          </w:p>
          <w:p w:rsidR="00E0152C" w:rsidRDefault="00E0152C" w:rsidP="00EA37AB">
            <w:pPr>
              <w:spacing w:line="360" w:lineRule="auto"/>
              <w:jc w:val="both"/>
              <w:rPr>
                <w:rFonts w:ascii="Rockwell" w:hAnsi="Rockwell" w:cs="Rockwell"/>
                <w:bCs/>
              </w:rPr>
            </w:pP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lang w:val="en-GB"/>
              </w:rPr>
              <w:t>DoM, DoGS, DoMP&amp;VA, NMC</w:t>
            </w:r>
          </w:p>
        </w:tc>
      </w:tr>
      <w:tr w:rsidR="00E0152C" w:rsidTr="00402EF9">
        <w:trPr>
          <w:trHeight w:val="1550"/>
        </w:trPr>
        <w:tc>
          <w:tcPr>
            <w:tcW w:w="709" w:type="dxa"/>
          </w:tcPr>
          <w:p w:rsidR="00E0152C" w:rsidRDefault="00E0152C" w:rsidP="00D23F61">
            <w:pPr>
              <w:spacing w:line="360" w:lineRule="auto"/>
              <w:jc w:val="both"/>
              <w:rPr>
                <w:rFonts w:ascii="Rockwell" w:hAnsi="Rockwell" w:cs="Rockwell"/>
                <w:bCs/>
              </w:rPr>
            </w:pPr>
            <w:r>
              <w:rPr>
                <w:rFonts w:ascii="Rockwell" w:hAnsi="Rockwell" w:cs="Rockwell"/>
                <w:bCs/>
              </w:rPr>
              <w:t>3.</w:t>
            </w:r>
          </w:p>
        </w:tc>
        <w:tc>
          <w:tcPr>
            <w:tcW w:w="993" w:type="dxa"/>
            <w:vMerge w:val="restart"/>
          </w:tcPr>
          <w:p w:rsidR="00E0152C" w:rsidRDefault="00E0152C" w:rsidP="00D23F61">
            <w:pPr>
              <w:spacing w:line="360" w:lineRule="auto"/>
              <w:jc w:val="both"/>
              <w:rPr>
                <w:rFonts w:ascii="Rockwell" w:hAnsi="Rockwell" w:cs="Rockwell"/>
                <w:bCs/>
              </w:rPr>
            </w:pPr>
            <w:r>
              <w:rPr>
                <w:rFonts w:ascii="Rockwell" w:hAnsi="Rockwell" w:cs="Rockwell"/>
                <w:bCs/>
              </w:rPr>
              <w:t>Laws</w:t>
            </w:r>
          </w:p>
        </w:tc>
        <w:tc>
          <w:tcPr>
            <w:tcW w:w="2126" w:type="dxa"/>
          </w:tcPr>
          <w:p w:rsidR="00E0152C" w:rsidRDefault="00E0152C" w:rsidP="00D23F61">
            <w:pPr>
              <w:spacing w:line="360" w:lineRule="auto"/>
              <w:jc w:val="both"/>
              <w:rPr>
                <w:rFonts w:ascii="Rockwell" w:hAnsi="Rockwell" w:cs="Rockwell"/>
                <w:bCs/>
                <w:lang w:val="en-GB"/>
              </w:rPr>
            </w:pPr>
            <w:r>
              <w:rPr>
                <w:rFonts w:ascii="Rockwell" w:hAnsi="Rockwell" w:cs="Rockwell"/>
                <w:bCs/>
              </w:rPr>
              <w:t>EMCA</w:t>
            </w:r>
            <w:r>
              <w:rPr>
                <w:rFonts w:ascii="Rockwell" w:hAnsi="Rockwell" w:cs="Rockwell"/>
                <w:bCs/>
                <w:lang w:val="en-GB"/>
              </w:rPr>
              <w:t>, 1999</w:t>
            </w:r>
          </w:p>
        </w:tc>
        <w:tc>
          <w:tcPr>
            <w:tcW w:w="2126" w:type="dxa"/>
          </w:tcPr>
          <w:p w:rsidR="00E0152C" w:rsidRDefault="00E0152C" w:rsidP="00D23F61">
            <w:pPr>
              <w:spacing w:line="360" w:lineRule="auto"/>
              <w:jc w:val="both"/>
              <w:rPr>
                <w:rFonts w:ascii="Rockwell" w:hAnsi="Rockwell" w:cs="Rockwell"/>
                <w:bCs/>
                <w:lang w:val="en-GB"/>
              </w:rPr>
            </w:pPr>
            <w:r>
              <w:rPr>
                <w:rFonts w:ascii="Rockwell" w:hAnsi="Rockwell" w:cs="Rockwell"/>
                <w:bCs/>
                <w:lang w:val="en-GB"/>
              </w:rPr>
              <w:t xml:space="preserve">Section 3, 9, 24, 28, 29, 31, 57A, 58, 68, 108, 117, 125, </w:t>
            </w:r>
          </w:p>
        </w:tc>
        <w:tc>
          <w:tcPr>
            <w:tcW w:w="2977" w:type="dxa"/>
          </w:tcPr>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(Impact Assessment and Audit) Regulations, 2003</w:t>
            </w: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(Waste Management) Regulations, 2006</w:t>
            </w: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(Noise &amp; Excessive Vibrations) Regulations, 2009</w:t>
            </w: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(Water Quality) Regulations, 2006</w:t>
            </w: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(Air Quality) Regulations, 2014</w:t>
            </w: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Environmental Management and Coordination (</w:t>
            </w:r>
            <w:r>
              <w:rPr>
                <w:rFonts w:ascii="Rockwell" w:eastAsiaTheme="minorHAnsi" w:hAnsi="Rockwell" w:cs="Rockwell"/>
                <w:bCs/>
              </w:rPr>
              <w:t>Conservation of Biological Diversity and resources, access to genetic resources and benefit sharing) resources, 2006</w:t>
            </w:r>
          </w:p>
        </w:tc>
        <w:tc>
          <w:tcPr>
            <w:tcW w:w="2268" w:type="dxa"/>
          </w:tcPr>
          <w:p w:rsidR="00E0152C" w:rsidRDefault="00E0152C" w:rsidP="00D23F61">
            <w:pPr>
              <w:spacing w:line="360" w:lineRule="auto"/>
              <w:jc w:val="both"/>
              <w:rPr>
                <w:rFonts w:ascii="Rockwell" w:hAnsi="Rockwell" w:cs="Rockwell"/>
                <w:bCs/>
                <w:lang w:val="en-GB"/>
              </w:rPr>
            </w:pPr>
            <w:r>
              <w:rPr>
                <w:rFonts w:ascii="Rockwell" w:hAnsi="Rockwell" w:cs="Rockwell"/>
                <w:bCs/>
              </w:rPr>
              <w:t>NEMA, NET</w:t>
            </w:r>
            <w:r>
              <w:rPr>
                <w:rFonts w:ascii="Rockwell" w:hAnsi="Rockwell" w:cs="Rockwell"/>
                <w:bCs/>
                <w:lang w:val="en-GB"/>
              </w:rPr>
              <w:t>, NECC, NETFUND, CEC</w:t>
            </w:r>
          </w:p>
        </w:tc>
      </w:tr>
      <w:tr w:rsidR="00E0152C" w:rsidTr="008E70A5">
        <w:trPr>
          <w:trHeight w:val="1381"/>
        </w:trPr>
        <w:tc>
          <w:tcPr>
            <w:tcW w:w="709" w:type="dxa"/>
          </w:tcPr>
          <w:p w:rsidR="00E0152C" w:rsidRDefault="00E0152C" w:rsidP="00D23F61">
            <w:pPr>
              <w:spacing w:line="360" w:lineRule="auto"/>
              <w:jc w:val="both"/>
              <w:rPr>
                <w:rFonts w:ascii="Rockwell" w:hAnsi="Rockwell" w:cs="Rockwell"/>
                <w:bCs/>
              </w:rPr>
            </w:pPr>
          </w:p>
        </w:tc>
        <w:tc>
          <w:tcPr>
            <w:tcW w:w="993" w:type="dxa"/>
            <w:vMerge/>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Mining Act 2016</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 xml:space="preserve">The entire Act is applicable </w:t>
            </w:r>
          </w:p>
        </w:tc>
        <w:tc>
          <w:tcPr>
            <w:tcW w:w="2977" w:type="dxa"/>
          </w:tcPr>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(Work Programmes and Exploration Reports) Guideline, 2017</w:t>
            </w: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hAnsi="Rockwell" w:cs="Rockwell"/>
                <w:bCs/>
              </w:rPr>
            </w:pPr>
            <w:r>
              <w:rPr>
                <w:rFonts w:ascii="Rockwell" w:hAnsi="Rockwell" w:cs="Rockwell"/>
                <w:bCs/>
              </w:rPr>
              <w:t>Mining (Licence and Permit) Regulations, 2017.</w:t>
            </w:r>
          </w:p>
          <w:p w:rsidR="00E0152C" w:rsidRDefault="00E0152C" w:rsidP="00D23F61">
            <w:pPr>
              <w:widowControl/>
              <w:numPr>
                <w:ilvl w:val="255"/>
                <w:numId w:val="0"/>
              </w:numPr>
              <w:autoSpaceDE w:val="0"/>
              <w:autoSpaceDN w:val="0"/>
              <w:adjustRightInd w:val="0"/>
              <w:spacing w:line="360" w:lineRule="auto"/>
              <w:jc w:val="both"/>
              <w:rPr>
                <w:rFonts w:ascii="Rockwell" w:hAnsi="Rockwell" w:cs="Rockwell"/>
                <w:bCs/>
              </w:rPr>
            </w:pP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(Dealings in Minerals) Regulations, 2017.</w:t>
            </w: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(Community Development Agreement) Regulations, 2017.</w:t>
            </w: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(Strategic Minerals) Regulations, 2017.</w:t>
            </w: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Mining (Mine Support Services) Regulations, 2017.</w:t>
            </w:r>
          </w:p>
          <w:p w:rsidR="00E0152C" w:rsidRDefault="00E0152C" w:rsidP="00D23F61">
            <w:pPr>
              <w:widowControl/>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autoSpaceDE w:val="0"/>
              <w:autoSpaceDN w:val="0"/>
              <w:adjustRightInd w:val="0"/>
              <w:spacing w:line="360" w:lineRule="auto"/>
              <w:jc w:val="both"/>
              <w:rPr>
                <w:rFonts w:ascii="Rockwell" w:hAnsi="Rockwell" w:cs="Rockwell"/>
                <w:bCs/>
              </w:rPr>
            </w:pPr>
            <w:r>
              <w:rPr>
                <w:rFonts w:ascii="Rockwell" w:eastAsiaTheme="minorHAnsi" w:hAnsi="Rockwell" w:cs="Rockwell"/>
                <w:bCs/>
                <w:lang w:val="en-GB"/>
              </w:rPr>
              <w:t>Mining (Award of Mineral Rights by Tender) Regulations, 2017.</w:t>
            </w:r>
          </w:p>
        </w:tc>
        <w:tc>
          <w:tcPr>
            <w:tcW w:w="2268" w:type="dxa"/>
          </w:tcPr>
          <w:p w:rsidR="00E0152C" w:rsidRDefault="00E0152C" w:rsidP="00D23F61">
            <w:pPr>
              <w:spacing w:line="360" w:lineRule="auto"/>
              <w:ind w:left="110" w:hangingChars="50" w:hanging="110"/>
              <w:jc w:val="both"/>
              <w:rPr>
                <w:rFonts w:ascii="Rockwell" w:hAnsi="Rockwell" w:cs="Rockwell"/>
                <w:bCs/>
              </w:rPr>
            </w:pPr>
            <w:r>
              <w:rPr>
                <w:rFonts w:ascii="Rockwell" w:hAnsi="Rockwell" w:cs="Rockwell"/>
                <w:bCs/>
              </w:rPr>
              <w:t>Ministry of Petroleum &amp; Mining, National Mining Corporation, Minerals and Metals Commodity exchange</w:t>
            </w:r>
          </w:p>
        </w:tc>
      </w:tr>
      <w:tr w:rsidR="00E0152C" w:rsidTr="008E70A5">
        <w:trPr>
          <w:trHeight w:val="2117"/>
        </w:trPr>
        <w:tc>
          <w:tcPr>
            <w:tcW w:w="709" w:type="dxa"/>
          </w:tcPr>
          <w:p w:rsidR="00E0152C" w:rsidRDefault="00E0152C" w:rsidP="00D23F61">
            <w:pPr>
              <w:spacing w:line="360" w:lineRule="auto"/>
              <w:jc w:val="both"/>
              <w:rPr>
                <w:rFonts w:ascii="Rockwell" w:hAnsi="Rockwell" w:cs="Rockwell"/>
                <w:bCs/>
              </w:rPr>
            </w:pPr>
          </w:p>
        </w:tc>
        <w:tc>
          <w:tcPr>
            <w:tcW w:w="993" w:type="dxa"/>
            <w:vMerge/>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OSHA 2007</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9, 11, 14, 16, 21 44, 49, 50, 52, 64, 101</w:t>
            </w:r>
          </w:p>
        </w:tc>
        <w:tc>
          <w:tcPr>
            <w:tcW w:w="2977" w:type="dxa"/>
          </w:tcPr>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Eyes protection rules L.N 44/1978</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Building operations and works of engineering construction rules L.N 40/1984</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Electric power special rules L.N 340/1979</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First aid rules- L.N 160/1979.</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Health and safety committee rules-L.N 31/2004</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Medical examination Rules L.N 24/2005</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Noise prevention and control Rules L.N 25/2005</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r>
              <w:rPr>
                <w:rFonts w:ascii="Rockwell" w:eastAsiaTheme="minorHAnsi" w:hAnsi="Rockwell" w:cs="Rockwell"/>
                <w:bCs/>
                <w:lang w:val="en-GB"/>
              </w:rPr>
              <w:t>Fire Risk Reduction Rules L.N. 59/2007</w:t>
            </w:r>
          </w:p>
          <w:p w:rsidR="00E0152C" w:rsidRDefault="00E0152C" w:rsidP="00D23F61">
            <w:pPr>
              <w:widowControl/>
              <w:numPr>
                <w:ilvl w:val="255"/>
                <w:numId w:val="0"/>
              </w:numPr>
              <w:autoSpaceDE w:val="0"/>
              <w:autoSpaceDN w:val="0"/>
              <w:adjustRightInd w:val="0"/>
              <w:spacing w:line="360" w:lineRule="auto"/>
              <w:jc w:val="both"/>
              <w:rPr>
                <w:rFonts w:ascii="Rockwell" w:eastAsiaTheme="minorHAnsi" w:hAnsi="Rockwell" w:cs="Rockwell"/>
                <w:bCs/>
                <w:lang w:val="en-GB"/>
              </w:rPr>
            </w:pPr>
          </w:p>
          <w:p w:rsidR="00E0152C" w:rsidRDefault="00E0152C" w:rsidP="00D23F61">
            <w:pPr>
              <w:widowControl/>
              <w:autoSpaceDE w:val="0"/>
              <w:autoSpaceDN w:val="0"/>
              <w:adjustRightInd w:val="0"/>
              <w:spacing w:line="360" w:lineRule="auto"/>
              <w:jc w:val="both"/>
              <w:rPr>
                <w:rFonts w:ascii="Rockwell" w:hAnsi="Rockwell" w:cs="Rockwell"/>
                <w:bCs/>
              </w:rPr>
            </w:pPr>
            <w:r>
              <w:rPr>
                <w:rFonts w:ascii="Rockwell" w:eastAsiaTheme="minorHAnsi" w:hAnsi="Rockwell" w:cs="Rockwell"/>
                <w:bCs/>
                <w:lang w:val="en-GB"/>
              </w:rPr>
              <w:t>Hazardous Substances Rules L.N. 60/2007</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Directorate of Occupational Safety and Health Services</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Explosives Act, Cap 115</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18, 20, 21, 24, 28</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Explosives (Blasting and explosives) rules</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 xml:space="preserve">Ministry of Petroleum and Mining, Director of Mines </w:t>
            </w:r>
          </w:p>
        </w:tc>
      </w:tr>
      <w:tr w:rsidR="00E0152C" w:rsidTr="008E70A5">
        <w:trPr>
          <w:trHeight w:val="1041"/>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Work Injury Benefits Act, 2007</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 xml:space="preserve">Section 7, 10, 21, 45, </w:t>
            </w: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D23F61" w:rsidP="00D23F61">
            <w:pPr>
              <w:spacing w:line="360" w:lineRule="auto"/>
              <w:jc w:val="both"/>
              <w:rPr>
                <w:rFonts w:ascii="Rockwell" w:hAnsi="Rockwell" w:cs="Rockwell"/>
                <w:bCs/>
              </w:rPr>
            </w:pPr>
            <w:r>
              <w:rPr>
                <w:rFonts w:ascii="Rockwell" w:hAnsi="Rockwell" w:cs="Rockwell"/>
                <w:bCs/>
              </w:rPr>
              <w:t>DOSHS</w:t>
            </w:r>
          </w:p>
        </w:tc>
      </w:tr>
      <w:tr w:rsidR="00E0152C" w:rsidTr="008E70A5">
        <w:trPr>
          <w:trHeight w:val="1041"/>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Employment Act, 2007</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 xml:space="preserve">Section 4, 6, 17, 26, 27, 29,  30, 31, 32, 33, 34, 35 </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Employment general rules of 2014</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Ministry of Labour, Employment and Labour relations Court</w:t>
            </w:r>
          </w:p>
        </w:tc>
      </w:tr>
      <w:tr w:rsidR="00E0152C" w:rsidTr="008E70A5">
        <w:trPr>
          <w:trHeight w:val="318"/>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Pr="00967F0B" w:rsidRDefault="00E0152C" w:rsidP="00D23F61">
            <w:pPr>
              <w:spacing w:line="360" w:lineRule="auto"/>
              <w:jc w:val="both"/>
              <w:rPr>
                <w:rFonts w:ascii="Rockwell" w:hAnsi="Rockwell" w:cs="Rockwell"/>
                <w:bCs/>
              </w:rPr>
            </w:pPr>
            <w:r w:rsidRPr="00967F0B">
              <w:rPr>
                <w:rFonts w:ascii="Rockwell" w:hAnsi="Rockwell" w:cs="Rockwell"/>
                <w:bCs/>
              </w:rPr>
              <w:t>Land Act, 2012</w:t>
            </w:r>
          </w:p>
        </w:tc>
        <w:tc>
          <w:tcPr>
            <w:tcW w:w="2126" w:type="dxa"/>
          </w:tcPr>
          <w:p w:rsidR="00E0152C" w:rsidRPr="00967F0B" w:rsidRDefault="00E0152C" w:rsidP="00D23F61">
            <w:pPr>
              <w:spacing w:line="360" w:lineRule="auto"/>
              <w:jc w:val="both"/>
              <w:rPr>
                <w:rFonts w:ascii="Rockwell" w:hAnsi="Rockwell" w:cs="Rockwell"/>
                <w:bCs/>
              </w:rPr>
            </w:pPr>
            <w:r w:rsidRPr="00967F0B">
              <w:rPr>
                <w:rFonts w:ascii="Rockwell" w:hAnsi="Rockwell" w:cs="Rockwell"/>
                <w:bCs/>
              </w:rPr>
              <w:t xml:space="preserve">Section 11, 19, </w:t>
            </w:r>
          </w:p>
        </w:tc>
        <w:tc>
          <w:tcPr>
            <w:tcW w:w="2977" w:type="dxa"/>
          </w:tcPr>
          <w:p w:rsidR="00E0152C" w:rsidRPr="001A1FC0" w:rsidRDefault="00E0152C" w:rsidP="00D23F61">
            <w:pPr>
              <w:spacing w:line="360" w:lineRule="auto"/>
              <w:jc w:val="both"/>
              <w:rPr>
                <w:rFonts w:ascii="Rockwell" w:hAnsi="Rockwell" w:cs="Rockwell"/>
                <w:bCs/>
                <w:color w:val="FF0000"/>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NLC</w:t>
            </w:r>
          </w:p>
        </w:tc>
      </w:tr>
      <w:tr w:rsidR="00E0152C" w:rsidTr="008E70A5">
        <w:trPr>
          <w:trHeight w:val="701"/>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Pr="001A1FC0" w:rsidRDefault="00E0152C" w:rsidP="00D23F61">
            <w:pPr>
              <w:spacing w:line="360" w:lineRule="auto"/>
              <w:jc w:val="both"/>
              <w:rPr>
                <w:rFonts w:ascii="Rockwell" w:hAnsi="Rockwell" w:cs="Rockwell"/>
                <w:bCs/>
              </w:rPr>
            </w:pPr>
            <w:r w:rsidRPr="001A1FC0">
              <w:rPr>
                <w:rFonts w:ascii="Rockwell" w:hAnsi="Rockwell" w:cs="Rockwell"/>
                <w:bCs/>
              </w:rPr>
              <w:t>Environment and Land Court Act, No. 19 of 2011</w:t>
            </w:r>
          </w:p>
        </w:tc>
        <w:tc>
          <w:tcPr>
            <w:tcW w:w="2126" w:type="dxa"/>
          </w:tcPr>
          <w:p w:rsidR="00E0152C" w:rsidRPr="001A1FC0" w:rsidRDefault="00E0152C" w:rsidP="00D23F61">
            <w:pPr>
              <w:spacing w:line="360" w:lineRule="auto"/>
              <w:jc w:val="both"/>
              <w:rPr>
                <w:rFonts w:ascii="Rockwell" w:hAnsi="Rockwell" w:cs="Rockwell"/>
                <w:bCs/>
              </w:rPr>
            </w:pPr>
            <w:r w:rsidRPr="001A1FC0">
              <w:rPr>
                <w:rFonts w:ascii="Rockwell" w:hAnsi="Rockwell" w:cs="Rockwell"/>
                <w:bCs/>
              </w:rPr>
              <w:t>Section 4, 13, 14, 16</w:t>
            </w:r>
          </w:p>
        </w:tc>
        <w:tc>
          <w:tcPr>
            <w:tcW w:w="2977" w:type="dxa"/>
          </w:tcPr>
          <w:p w:rsidR="00E0152C" w:rsidRPr="001A1FC0" w:rsidRDefault="00E0152C" w:rsidP="00D23F61">
            <w:pPr>
              <w:spacing w:line="360" w:lineRule="auto"/>
              <w:jc w:val="both"/>
              <w:rPr>
                <w:rFonts w:ascii="Rockwell" w:hAnsi="Rockwell" w:cs="Rockwell"/>
                <w:bCs/>
                <w:color w:val="FF0000"/>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ELC</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Community Land Act</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5, 6, 8, 27, 34, 35, 36</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Community land Regulations, 2017</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Ministry of Lands, NLC, County Government, ELC</w:t>
            </w:r>
          </w:p>
        </w:tc>
      </w:tr>
      <w:tr w:rsidR="00E0152C" w:rsidTr="008E70A5">
        <w:trPr>
          <w:trHeight w:val="1721"/>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Water Act, 2016</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22, 23, 36</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Water Resources Management Rules, 2007</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 xml:space="preserve">WRA, Water Appeals Tribunal, ELC, Basin Water Resources Committee, Water Resource Users Associations, </w:t>
            </w:r>
          </w:p>
        </w:tc>
      </w:tr>
      <w:tr w:rsidR="00E0152C" w:rsidTr="008E70A5">
        <w:trPr>
          <w:trHeight w:val="1041"/>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Pr="00400DD7" w:rsidRDefault="00E0152C" w:rsidP="00D23F61">
            <w:pPr>
              <w:rPr>
                <w:rFonts w:ascii="Rockwell" w:hAnsi="Rockwell" w:cs="Rockwell"/>
                <w:bCs/>
              </w:rPr>
            </w:pPr>
            <w:r w:rsidRPr="00400DD7">
              <w:rPr>
                <w:rFonts w:ascii="Rockwell" w:hAnsi="Rockwell" w:cs="Rockwell"/>
                <w:bCs/>
              </w:rPr>
              <w:t>Physical and Land Use Planning Act No. 3 of 2019</w:t>
            </w:r>
          </w:p>
          <w:p w:rsidR="00E0152C" w:rsidRPr="00400DD7" w:rsidRDefault="00E0152C" w:rsidP="00D23F61">
            <w:pPr>
              <w:spacing w:line="360" w:lineRule="auto"/>
              <w:jc w:val="both"/>
              <w:rPr>
                <w:rFonts w:ascii="Rockwell" w:hAnsi="Rockwell" w:cs="Rockwell"/>
                <w:bCs/>
              </w:rPr>
            </w:pPr>
          </w:p>
        </w:tc>
        <w:tc>
          <w:tcPr>
            <w:tcW w:w="2126" w:type="dxa"/>
          </w:tcPr>
          <w:p w:rsidR="00E0152C" w:rsidRPr="00400DD7" w:rsidRDefault="00E0152C" w:rsidP="00D23F61">
            <w:pPr>
              <w:spacing w:line="360" w:lineRule="auto"/>
              <w:jc w:val="both"/>
              <w:rPr>
                <w:rFonts w:ascii="Rockwell" w:hAnsi="Rockwell" w:cs="Rockwell"/>
                <w:bCs/>
              </w:rPr>
            </w:pPr>
            <w:r w:rsidRPr="00400DD7">
              <w:rPr>
                <w:rFonts w:ascii="Rockwell" w:hAnsi="Rockwell" w:cs="Rockwell"/>
                <w:bCs/>
              </w:rPr>
              <w:t>Section 14, 18</w:t>
            </w:r>
          </w:p>
        </w:tc>
        <w:tc>
          <w:tcPr>
            <w:tcW w:w="2977" w:type="dxa"/>
          </w:tcPr>
          <w:p w:rsidR="00E0152C" w:rsidRPr="00400DD7" w:rsidRDefault="00400DD7" w:rsidP="00D23F61">
            <w:pPr>
              <w:spacing w:line="360" w:lineRule="auto"/>
              <w:jc w:val="both"/>
              <w:rPr>
                <w:rFonts w:ascii="Rockwell" w:hAnsi="Rockwell" w:cs="Rockwell"/>
                <w:bCs/>
              </w:rPr>
            </w:pPr>
            <w:r w:rsidRPr="00400DD7">
              <w:rPr>
                <w:rFonts w:ascii="Rockwell" w:hAnsi="Rockwell" w:cs="Rockwell"/>
                <w:bCs/>
              </w:rPr>
              <w:t>Physical and Land Use Planning (Development permission and control) (general) Regulations 2021</w:t>
            </w:r>
          </w:p>
          <w:p w:rsidR="00400DD7" w:rsidRPr="00400DD7" w:rsidRDefault="00400DD7"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County physical and land use planning consultative forum</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Forest Conservation &amp; Management Act, 2016</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 xml:space="preserve">Section 8, 20, 21, 30 </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Forest (Participation in Sustainable Forest Management) Rules, 2009</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KFS, County governments</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vMerge w:val="restart"/>
          </w:tcPr>
          <w:p w:rsidR="00E0152C" w:rsidRDefault="00E0152C" w:rsidP="00D23F61">
            <w:pPr>
              <w:spacing w:line="360" w:lineRule="auto"/>
              <w:jc w:val="both"/>
              <w:rPr>
                <w:rFonts w:ascii="Rockwell" w:hAnsi="Rockwell" w:cs="Rockwell"/>
                <w:bCs/>
              </w:rPr>
            </w:pPr>
          </w:p>
        </w:tc>
        <w:tc>
          <w:tcPr>
            <w:tcW w:w="2126" w:type="dxa"/>
            <w:vMerge w:val="restart"/>
          </w:tcPr>
          <w:p w:rsidR="00E0152C" w:rsidRDefault="00E0152C" w:rsidP="00D23F61">
            <w:pPr>
              <w:spacing w:line="360" w:lineRule="auto"/>
              <w:jc w:val="both"/>
              <w:rPr>
                <w:rFonts w:ascii="Rockwell" w:hAnsi="Rockwell" w:cs="Rockwell"/>
                <w:bCs/>
              </w:rPr>
            </w:pPr>
            <w:r>
              <w:rPr>
                <w:rFonts w:ascii="Rockwell" w:hAnsi="Rockwell" w:cs="Rockwell"/>
              </w:rPr>
              <w:t>Wildlife Conservation and Management  Act, 2013</w:t>
            </w:r>
          </w:p>
        </w:tc>
        <w:tc>
          <w:tcPr>
            <w:tcW w:w="2126" w:type="dxa"/>
            <w:vMerge w:val="restart"/>
          </w:tcPr>
          <w:p w:rsidR="00E0152C" w:rsidRDefault="00E0152C" w:rsidP="00D23F61">
            <w:pPr>
              <w:spacing w:line="360" w:lineRule="auto"/>
              <w:jc w:val="both"/>
              <w:rPr>
                <w:rFonts w:ascii="Rockwell" w:hAnsi="Rockwell" w:cs="Rockwell"/>
                <w:bCs/>
              </w:rPr>
            </w:pPr>
            <w:r>
              <w:rPr>
                <w:rFonts w:ascii="Rockwell" w:hAnsi="Rockwell" w:cs="Rockwell"/>
                <w:bCs/>
              </w:rPr>
              <w:t>Section 26, 45, 46,47</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Wildlife Conservation and Management ( Protection of Endangered and threatened ecosystems, habitat and species) Regulations, 2017</w:t>
            </w:r>
          </w:p>
        </w:tc>
        <w:tc>
          <w:tcPr>
            <w:tcW w:w="2268" w:type="dxa"/>
            <w:vMerge w:val="restart"/>
          </w:tcPr>
          <w:p w:rsidR="00E0152C" w:rsidRDefault="00E0152C" w:rsidP="00D23F61">
            <w:pPr>
              <w:spacing w:line="360" w:lineRule="auto"/>
              <w:jc w:val="both"/>
              <w:rPr>
                <w:rFonts w:ascii="Rockwell" w:hAnsi="Rockwell" w:cs="Rockwell"/>
                <w:bCs/>
              </w:rPr>
            </w:pPr>
            <w:r>
              <w:rPr>
                <w:rFonts w:ascii="Rockwell" w:hAnsi="Rockwell" w:cs="Rockwell"/>
                <w:bCs/>
              </w:rPr>
              <w:t>KWS</w:t>
            </w:r>
          </w:p>
          <w:p w:rsidR="00E0152C" w:rsidRDefault="00E0152C" w:rsidP="00D23F61">
            <w:pPr>
              <w:spacing w:line="360" w:lineRule="auto"/>
              <w:jc w:val="both"/>
              <w:rPr>
                <w:rFonts w:ascii="Rockwell" w:hAnsi="Rockwell" w:cs="Rockwell"/>
                <w:bCs/>
              </w:rPr>
            </w:pPr>
          </w:p>
        </w:tc>
      </w:tr>
      <w:tr w:rsidR="00E0152C" w:rsidTr="008E70A5">
        <w:trPr>
          <w:trHeight w:val="360"/>
        </w:trPr>
        <w:tc>
          <w:tcPr>
            <w:tcW w:w="709" w:type="dxa"/>
          </w:tcPr>
          <w:p w:rsidR="00E0152C" w:rsidRDefault="00E0152C" w:rsidP="00D23F61">
            <w:pPr>
              <w:spacing w:line="360" w:lineRule="auto"/>
              <w:jc w:val="both"/>
              <w:rPr>
                <w:rFonts w:ascii="Rockwell" w:hAnsi="Rockwell" w:cs="Rockwell"/>
                <w:bCs/>
              </w:rPr>
            </w:pPr>
          </w:p>
        </w:tc>
        <w:tc>
          <w:tcPr>
            <w:tcW w:w="993" w:type="dxa"/>
            <w:vMerge/>
          </w:tcPr>
          <w:p w:rsidR="00E0152C" w:rsidRDefault="00E0152C" w:rsidP="00D23F61">
            <w:pPr>
              <w:spacing w:line="360" w:lineRule="auto"/>
              <w:jc w:val="both"/>
              <w:rPr>
                <w:rFonts w:ascii="Rockwell" w:hAnsi="Rockwell" w:cs="Rockwell"/>
                <w:bCs/>
              </w:rPr>
            </w:pPr>
          </w:p>
        </w:tc>
        <w:tc>
          <w:tcPr>
            <w:tcW w:w="2126" w:type="dxa"/>
            <w:vMerge/>
          </w:tcPr>
          <w:p w:rsidR="00E0152C" w:rsidRDefault="00E0152C" w:rsidP="00D23F61">
            <w:pPr>
              <w:spacing w:line="360" w:lineRule="auto"/>
              <w:jc w:val="both"/>
              <w:rPr>
                <w:rFonts w:ascii="Rockwell" w:hAnsi="Rockwell" w:cs="Rockwell"/>
                <w:bCs/>
              </w:rPr>
            </w:pPr>
          </w:p>
        </w:tc>
        <w:tc>
          <w:tcPr>
            <w:tcW w:w="2126" w:type="dxa"/>
            <w:vMerge/>
          </w:tcPr>
          <w:p w:rsidR="00E0152C" w:rsidRDefault="00E0152C" w:rsidP="00D23F61">
            <w:pPr>
              <w:spacing w:line="360" w:lineRule="auto"/>
              <w:jc w:val="both"/>
              <w:rPr>
                <w:rFonts w:ascii="Rockwell" w:hAnsi="Rockwell" w:cs="Rockwell"/>
                <w:bCs/>
              </w:rPr>
            </w:pP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Wildlife Conservation and Management (Joint Management of Protected Water Towers) Regulations, 2017</w:t>
            </w:r>
          </w:p>
        </w:tc>
        <w:tc>
          <w:tcPr>
            <w:tcW w:w="2268" w:type="dxa"/>
            <w:vMerge/>
          </w:tcPr>
          <w:p w:rsidR="00E0152C" w:rsidRDefault="00E0152C" w:rsidP="00D23F61">
            <w:pPr>
              <w:spacing w:line="360" w:lineRule="auto"/>
              <w:jc w:val="both"/>
              <w:rPr>
                <w:rFonts w:ascii="Rockwell" w:hAnsi="Rockwell" w:cs="Rockwell"/>
                <w:bCs/>
              </w:rPr>
            </w:pP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rPr>
              <w:t>National Land Commission Act, 2012</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5, 6</w:t>
            </w:r>
          </w:p>
        </w:tc>
        <w:tc>
          <w:tcPr>
            <w:tcW w:w="2977" w:type="dxa"/>
          </w:tcPr>
          <w:p w:rsidR="00E0152C" w:rsidRDefault="00E0152C" w:rsidP="00D23F61">
            <w:pPr>
              <w:spacing w:line="360" w:lineRule="auto"/>
              <w:jc w:val="both"/>
              <w:rPr>
                <w:rFonts w:ascii="Rockwell" w:hAnsi="Rockwell" w:cs="Rockwell"/>
                <w:bCs/>
              </w:rPr>
            </w:pPr>
            <w:r>
              <w:rPr>
                <w:rFonts w:ascii="Rockwell" w:hAnsi="Rockwell" w:cs="Rockwell"/>
                <w:bCs/>
              </w:rPr>
              <w:t>National Land Commission (Review of Grants and Dispositions of Public Land) Regulations, 2017</w:t>
            </w: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NLC</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rPr>
              <w:t>County Government Act, 2012</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102, 103, 104, 105, 109</w:t>
            </w:r>
            <w:r w:rsidR="00EA37AB">
              <w:rPr>
                <w:rFonts w:ascii="Rockwell" w:hAnsi="Rockwell" w:cs="Rockwell"/>
                <w:bCs/>
              </w:rPr>
              <w:t>, 110</w:t>
            </w:r>
            <w:r>
              <w:rPr>
                <w:rFonts w:ascii="Rockwell" w:hAnsi="Rockwell" w:cs="Rockwell"/>
                <w:bCs/>
              </w:rPr>
              <w:t xml:space="preserve"> </w:t>
            </w: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County Government</w:t>
            </w:r>
          </w:p>
        </w:tc>
      </w:tr>
      <w:tr w:rsidR="00E0152C" w:rsidTr="008E70A5">
        <w:trPr>
          <w:trHeight w:val="34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Public Health Act</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21, 22, 38, 115</w:t>
            </w: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Ministry of Health (MoH)</w:t>
            </w:r>
          </w:p>
        </w:tc>
      </w:tr>
      <w:tr w:rsidR="00E0152C" w:rsidTr="008E70A5">
        <w:trPr>
          <w:trHeight w:val="680"/>
        </w:trPr>
        <w:tc>
          <w:tcPr>
            <w:tcW w:w="709" w:type="dxa"/>
          </w:tcPr>
          <w:p w:rsidR="00E0152C" w:rsidRDefault="00E0152C" w:rsidP="00D23F61">
            <w:pPr>
              <w:spacing w:line="360" w:lineRule="auto"/>
              <w:jc w:val="both"/>
              <w:rPr>
                <w:rFonts w:ascii="Rockwell" w:hAnsi="Rockwell" w:cs="Rockwell"/>
                <w:bCs/>
              </w:rPr>
            </w:pPr>
          </w:p>
        </w:tc>
        <w:tc>
          <w:tcPr>
            <w:tcW w:w="993" w:type="dxa"/>
          </w:tcPr>
          <w:p w:rsidR="00E0152C" w:rsidRDefault="00E0152C" w:rsidP="00D23F61">
            <w:pPr>
              <w:spacing w:line="360" w:lineRule="auto"/>
              <w:jc w:val="both"/>
              <w:rPr>
                <w:rFonts w:ascii="Rockwell" w:hAnsi="Rockwell" w:cs="Rockwell"/>
                <w:bCs/>
              </w:rPr>
            </w:pP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Kenya National Commission on Human Rights</w:t>
            </w:r>
            <w:r w:rsidR="009D1566">
              <w:rPr>
                <w:rFonts w:ascii="Rockwell" w:hAnsi="Rockwell" w:cs="Rockwell"/>
                <w:bCs/>
              </w:rPr>
              <w:t xml:space="preserve"> Act</w:t>
            </w:r>
            <w:r>
              <w:rPr>
                <w:rFonts w:ascii="Rockwell" w:hAnsi="Rockwell" w:cs="Rockwell"/>
                <w:bCs/>
              </w:rPr>
              <w:t>, 2011</w:t>
            </w:r>
          </w:p>
        </w:tc>
        <w:tc>
          <w:tcPr>
            <w:tcW w:w="2126" w:type="dxa"/>
          </w:tcPr>
          <w:p w:rsidR="00E0152C" w:rsidRDefault="00E0152C" w:rsidP="00D23F61">
            <w:pPr>
              <w:spacing w:line="360" w:lineRule="auto"/>
              <w:jc w:val="both"/>
              <w:rPr>
                <w:rFonts w:ascii="Rockwell" w:hAnsi="Rockwell" w:cs="Rockwell"/>
                <w:bCs/>
              </w:rPr>
            </w:pPr>
            <w:r>
              <w:rPr>
                <w:rFonts w:ascii="Rockwell" w:hAnsi="Rockwell" w:cs="Rockwell"/>
                <w:bCs/>
              </w:rPr>
              <w:t>Section 8, 28, 29, 33</w:t>
            </w:r>
          </w:p>
        </w:tc>
        <w:tc>
          <w:tcPr>
            <w:tcW w:w="2977" w:type="dxa"/>
          </w:tcPr>
          <w:p w:rsidR="00E0152C" w:rsidRDefault="00E0152C" w:rsidP="00D23F61">
            <w:pPr>
              <w:spacing w:line="360" w:lineRule="auto"/>
              <w:jc w:val="both"/>
              <w:rPr>
                <w:rFonts w:ascii="Rockwell" w:hAnsi="Rockwell" w:cs="Rockwell"/>
                <w:bCs/>
              </w:rPr>
            </w:pPr>
          </w:p>
        </w:tc>
        <w:tc>
          <w:tcPr>
            <w:tcW w:w="2268" w:type="dxa"/>
          </w:tcPr>
          <w:p w:rsidR="00E0152C" w:rsidRDefault="00E0152C" w:rsidP="00D23F61">
            <w:pPr>
              <w:spacing w:line="360" w:lineRule="auto"/>
              <w:jc w:val="both"/>
              <w:rPr>
                <w:rFonts w:ascii="Rockwell" w:hAnsi="Rockwell" w:cs="Rockwell"/>
                <w:bCs/>
              </w:rPr>
            </w:pPr>
            <w:r>
              <w:rPr>
                <w:rFonts w:ascii="Rockwell" w:hAnsi="Rockwell" w:cs="Rockwell"/>
                <w:bCs/>
              </w:rPr>
              <w:t>KNHCR</w:t>
            </w:r>
          </w:p>
        </w:tc>
      </w:tr>
      <w:tr w:rsidR="00BA55A8" w:rsidTr="008E70A5">
        <w:trPr>
          <w:trHeight w:val="680"/>
        </w:trPr>
        <w:tc>
          <w:tcPr>
            <w:tcW w:w="709" w:type="dxa"/>
          </w:tcPr>
          <w:p w:rsidR="00BA55A8" w:rsidRDefault="00BA55A8" w:rsidP="00D23F61">
            <w:pPr>
              <w:spacing w:line="360" w:lineRule="auto"/>
              <w:jc w:val="both"/>
              <w:rPr>
                <w:rFonts w:ascii="Rockwell" w:hAnsi="Rockwell" w:cs="Rockwell"/>
                <w:bCs/>
              </w:rPr>
            </w:pPr>
          </w:p>
        </w:tc>
        <w:tc>
          <w:tcPr>
            <w:tcW w:w="993" w:type="dxa"/>
          </w:tcPr>
          <w:p w:rsidR="00BA55A8" w:rsidRDefault="00BA55A8" w:rsidP="00D23F61">
            <w:pPr>
              <w:spacing w:line="360" w:lineRule="auto"/>
              <w:jc w:val="both"/>
              <w:rPr>
                <w:rFonts w:ascii="Rockwell" w:hAnsi="Rockwell" w:cs="Rockwell"/>
                <w:bCs/>
              </w:rPr>
            </w:pPr>
          </w:p>
        </w:tc>
        <w:tc>
          <w:tcPr>
            <w:tcW w:w="2126" w:type="dxa"/>
          </w:tcPr>
          <w:p w:rsidR="00BA55A8" w:rsidRDefault="00BA55A8" w:rsidP="00D23F61">
            <w:pPr>
              <w:spacing w:line="360" w:lineRule="auto"/>
              <w:jc w:val="both"/>
              <w:rPr>
                <w:rFonts w:ascii="Rockwell" w:hAnsi="Rockwell" w:cs="Rockwell"/>
                <w:bCs/>
              </w:rPr>
            </w:pPr>
            <w:r>
              <w:rPr>
                <w:rFonts w:ascii="Rockwell" w:hAnsi="Rockwell" w:cs="Rockwell"/>
                <w:bCs/>
              </w:rPr>
              <w:t>Climate Change Act, 2016</w:t>
            </w:r>
          </w:p>
        </w:tc>
        <w:tc>
          <w:tcPr>
            <w:tcW w:w="2126" w:type="dxa"/>
          </w:tcPr>
          <w:p w:rsidR="00BA55A8" w:rsidRDefault="00BA55A8" w:rsidP="00D23F61">
            <w:pPr>
              <w:spacing w:line="360" w:lineRule="auto"/>
              <w:jc w:val="both"/>
              <w:rPr>
                <w:rFonts w:ascii="Rockwell" w:hAnsi="Rockwell" w:cs="Rockwell"/>
                <w:bCs/>
              </w:rPr>
            </w:pPr>
            <w:r>
              <w:rPr>
                <w:rFonts w:ascii="Rockwell" w:hAnsi="Rockwell" w:cs="Rockwell"/>
                <w:bCs/>
              </w:rPr>
              <w:t>Section 23</w:t>
            </w:r>
          </w:p>
        </w:tc>
        <w:tc>
          <w:tcPr>
            <w:tcW w:w="2977" w:type="dxa"/>
          </w:tcPr>
          <w:p w:rsidR="00BA55A8" w:rsidRDefault="00BA55A8" w:rsidP="00D23F61">
            <w:pPr>
              <w:spacing w:line="360" w:lineRule="auto"/>
              <w:jc w:val="both"/>
              <w:rPr>
                <w:rFonts w:ascii="Rockwell" w:hAnsi="Rockwell" w:cs="Rockwell"/>
                <w:bCs/>
              </w:rPr>
            </w:pPr>
          </w:p>
        </w:tc>
        <w:tc>
          <w:tcPr>
            <w:tcW w:w="2268" w:type="dxa"/>
          </w:tcPr>
          <w:p w:rsidR="00BA55A8" w:rsidRDefault="00BA55A8" w:rsidP="00D23F61">
            <w:pPr>
              <w:spacing w:line="360" w:lineRule="auto"/>
              <w:jc w:val="both"/>
              <w:rPr>
                <w:rFonts w:ascii="Rockwell" w:hAnsi="Rockwell" w:cs="Rockwell"/>
                <w:bCs/>
              </w:rPr>
            </w:pPr>
            <w:r>
              <w:rPr>
                <w:rFonts w:ascii="Rockwell" w:hAnsi="Rockwell" w:cs="Rockwell"/>
                <w:bCs/>
              </w:rPr>
              <w:t>ELC</w:t>
            </w:r>
          </w:p>
        </w:tc>
      </w:tr>
    </w:tbl>
    <w:p w:rsidR="00E0152C" w:rsidRDefault="00E0152C">
      <w:pPr>
        <w:spacing w:line="360" w:lineRule="auto"/>
        <w:jc w:val="both"/>
        <w:rPr>
          <w:rFonts w:ascii="Rockwell" w:hAnsi="Rockwell" w:cs="Rockwell"/>
          <w:b/>
          <w:sz w:val="24"/>
          <w:szCs w:val="24"/>
        </w:rPr>
      </w:pPr>
    </w:p>
    <w:p w:rsidR="0036747A" w:rsidRDefault="0036747A">
      <w:pPr>
        <w:spacing w:line="360" w:lineRule="auto"/>
        <w:jc w:val="both"/>
        <w:rPr>
          <w:rFonts w:ascii="Rockwell" w:hAnsi="Rockwell" w:cs="Rockwell"/>
          <w:b/>
          <w:sz w:val="24"/>
          <w:szCs w:val="24"/>
        </w:rPr>
      </w:pPr>
    </w:p>
    <w:p w:rsidR="0036747A" w:rsidRDefault="0036747A">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555DAF" w:rsidRDefault="00555DAF">
      <w:pPr>
        <w:spacing w:line="360" w:lineRule="auto"/>
        <w:jc w:val="both"/>
        <w:rPr>
          <w:rFonts w:ascii="Rockwell" w:hAnsi="Rockwell" w:cs="Rockwell"/>
          <w:b/>
          <w:sz w:val="24"/>
          <w:szCs w:val="24"/>
        </w:rPr>
      </w:pPr>
    </w:p>
    <w:p w:rsidR="00402EF9" w:rsidRDefault="005B3268" w:rsidP="00402EF9">
      <w:pPr>
        <w:pStyle w:val="Heading3"/>
        <w:spacing w:line="360" w:lineRule="auto"/>
        <w:jc w:val="both"/>
        <w:rPr>
          <w:rFonts w:ascii="Rockwell" w:hAnsi="Rockwell" w:cs="Rockwell"/>
          <w:b/>
          <w:color w:val="auto"/>
        </w:rPr>
      </w:pPr>
      <w:bookmarkStart w:id="40" w:name="_Toc425702"/>
      <w:r w:rsidRPr="005B3268">
        <w:rPr>
          <w:rFonts w:ascii="Rockwell" w:hAnsi="Rockwell" w:cs="Rockwell"/>
          <w:b/>
          <w:color w:val="auto"/>
          <w:lang w:val="en-GB"/>
        </w:rPr>
        <w:t>CHAPTER 3</w:t>
      </w:r>
      <w:bookmarkStart w:id="41" w:name="_Toc425710"/>
      <w:bookmarkStart w:id="42" w:name="_Toc15569"/>
      <w:bookmarkStart w:id="43" w:name="_Toc27315"/>
      <w:bookmarkStart w:id="44" w:name="_Toc31384"/>
      <w:bookmarkEnd w:id="40"/>
      <w:r w:rsidR="00402EF9">
        <w:rPr>
          <w:rFonts w:ascii="Rockwell" w:hAnsi="Rockwell" w:cs="Rockwell"/>
          <w:b/>
          <w:color w:val="auto"/>
          <w:lang w:val="en-GB"/>
        </w:rPr>
        <w:t xml:space="preserve">: </w:t>
      </w:r>
      <w:r w:rsidR="00555DAF">
        <w:rPr>
          <w:rFonts w:ascii="Rockwell" w:hAnsi="Rockwell" w:cs="Rockwell"/>
          <w:b/>
          <w:color w:val="auto"/>
        </w:rPr>
        <w:t xml:space="preserve">MINE SITE DECOMMISSIONING </w:t>
      </w:r>
      <w:r w:rsidR="00555DAF">
        <w:rPr>
          <w:rFonts w:ascii="Rockwell" w:hAnsi="Rockwell" w:cs="Rockwell"/>
          <w:b/>
          <w:color w:val="auto"/>
          <w:lang w:val="en-GB"/>
        </w:rPr>
        <w:t xml:space="preserve">AND REHABILITATION </w:t>
      </w:r>
      <w:r w:rsidR="00555DAF">
        <w:rPr>
          <w:rFonts w:ascii="Rockwell" w:hAnsi="Rockwell" w:cs="Rockwell"/>
          <w:b/>
          <w:color w:val="auto"/>
        </w:rPr>
        <w:t>PLAN</w:t>
      </w:r>
    </w:p>
    <w:p w:rsidR="00555DAF" w:rsidRPr="00555DAF" w:rsidRDefault="00555DAF" w:rsidP="00555DAF"/>
    <w:bookmarkEnd w:id="41"/>
    <w:bookmarkEnd w:id="42"/>
    <w:bookmarkEnd w:id="43"/>
    <w:bookmarkEnd w:id="44"/>
    <w:p w:rsidR="00CE5995" w:rsidRDefault="00C66878">
      <w:pPr>
        <w:tabs>
          <w:tab w:val="left" w:pos="720"/>
        </w:tabs>
        <w:spacing w:line="360" w:lineRule="auto"/>
        <w:jc w:val="both"/>
        <w:rPr>
          <w:rFonts w:ascii="Rockwell" w:hAnsi="Rockwell" w:cs="Rockwell"/>
          <w:sz w:val="24"/>
          <w:szCs w:val="24"/>
          <w:lang w:val="en-GB"/>
        </w:rPr>
      </w:pPr>
      <w:r w:rsidRPr="00C66878">
        <w:rPr>
          <w:rFonts w:ascii="Rockwell" w:hAnsi="Rockwell" w:cs="Rockwell"/>
          <w:sz w:val="24"/>
          <w:szCs w:val="24"/>
          <w:lang w:val="en-GB"/>
        </w:rPr>
        <w:t>Inadequate</w:t>
      </w:r>
      <w:r>
        <w:rPr>
          <w:rFonts w:ascii="Rockwell" w:hAnsi="Rockwell" w:cs="Rockwell"/>
          <w:sz w:val="24"/>
          <w:szCs w:val="24"/>
          <w:lang w:val="en-GB"/>
        </w:rPr>
        <w:t xml:space="preserve"> </w:t>
      </w:r>
      <w:r w:rsidRPr="00C66878">
        <w:rPr>
          <w:rFonts w:ascii="Rockwell" w:hAnsi="Rockwell" w:cs="Rockwell"/>
          <w:sz w:val="24"/>
          <w:szCs w:val="24"/>
          <w:lang w:val="en-GB"/>
        </w:rPr>
        <w:t xml:space="preserve">information </w:t>
      </w:r>
      <w:r>
        <w:rPr>
          <w:rFonts w:ascii="Rockwell" w:hAnsi="Rockwell" w:cs="Rockwell"/>
          <w:sz w:val="24"/>
          <w:szCs w:val="24"/>
          <w:lang w:val="en-GB"/>
        </w:rPr>
        <w:t xml:space="preserve">at the national scale </w:t>
      </w:r>
      <w:r w:rsidRPr="00C66878">
        <w:rPr>
          <w:rFonts w:ascii="Rockwell" w:hAnsi="Rockwell" w:cs="Rockwell"/>
          <w:sz w:val="24"/>
          <w:szCs w:val="24"/>
          <w:lang w:val="en-GB"/>
        </w:rPr>
        <w:t xml:space="preserve">on the </w:t>
      </w:r>
      <w:r w:rsidR="00D355FB" w:rsidRPr="00C66878">
        <w:rPr>
          <w:rFonts w:ascii="Rockwell" w:hAnsi="Rockwell" w:cs="Rockwell"/>
          <w:sz w:val="24"/>
          <w:szCs w:val="24"/>
          <w:lang w:val="en-GB"/>
        </w:rPr>
        <w:t xml:space="preserve">decommissioning and rehabilitation </w:t>
      </w:r>
      <w:r w:rsidRPr="00C66878">
        <w:rPr>
          <w:rFonts w:ascii="Rockwell" w:hAnsi="Rockwell" w:cs="Rockwell"/>
          <w:sz w:val="24"/>
          <w:szCs w:val="24"/>
          <w:lang w:val="en-GB"/>
        </w:rPr>
        <w:t xml:space="preserve">of mines has </w:t>
      </w:r>
      <w:r w:rsidR="00D37047" w:rsidRPr="00C66878">
        <w:rPr>
          <w:rFonts w:ascii="Rockwell" w:hAnsi="Rockwell" w:cs="Rockwell"/>
          <w:sz w:val="24"/>
          <w:szCs w:val="24"/>
          <w:lang w:val="en-GB"/>
        </w:rPr>
        <w:t>resulted in several</w:t>
      </w:r>
      <w:r w:rsidR="00B977CA" w:rsidRPr="00C66878">
        <w:rPr>
          <w:rFonts w:ascii="Rockwell" w:hAnsi="Rockwell" w:cs="Rockwell"/>
          <w:sz w:val="24"/>
          <w:szCs w:val="24"/>
          <w:lang w:val="en-GB"/>
        </w:rPr>
        <w:t xml:space="preserve"> </w:t>
      </w:r>
      <w:r w:rsidR="00D355FB" w:rsidRPr="00C66878">
        <w:rPr>
          <w:rFonts w:ascii="Rockwell" w:hAnsi="Rockwell" w:cs="Rockwell"/>
          <w:sz w:val="24"/>
          <w:szCs w:val="24"/>
          <w:lang w:val="en-GB"/>
        </w:rPr>
        <w:t xml:space="preserve">environmental </w:t>
      </w:r>
      <w:r w:rsidR="00B977CA" w:rsidRPr="00C66878">
        <w:rPr>
          <w:rFonts w:ascii="Rockwell" w:hAnsi="Rockwell" w:cs="Rockwell"/>
          <w:sz w:val="24"/>
          <w:szCs w:val="24"/>
          <w:lang w:val="en-GB"/>
        </w:rPr>
        <w:t>challenges</w:t>
      </w:r>
      <w:r w:rsidRPr="00C66878">
        <w:rPr>
          <w:rFonts w:ascii="Rockwell" w:hAnsi="Rockwell" w:cs="Rockwell"/>
          <w:sz w:val="24"/>
          <w:szCs w:val="24"/>
          <w:lang w:val="en-GB"/>
        </w:rPr>
        <w:t xml:space="preserve"> </w:t>
      </w:r>
      <w:r>
        <w:rPr>
          <w:rFonts w:ascii="Rockwell" w:hAnsi="Rockwell" w:cs="Rockwell"/>
          <w:sz w:val="24"/>
          <w:szCs w:val="24"/>
          <w:lang w:val="en-GB"/>
        </w:rPr>
        <w:t>posing risks to public health and the environment</w:t>
      </w:r>
      <w:r w:rsidR="00D355FB" w:rsidRPr="00C66878">
        <w:rPr>
          <w:rFonts w:ascii="Rockwell" w:hAnsi="Rockwell" w:cs="Rockwell"/>
          <w:sz w:val="24"/>
          <w:szCs w:val="24"/>
          <w:lang w:val="en-GB"/>
        </w:rPr>
        <w:t>.</w:t>
      </w:r>
      <w:r>
        <w:rPr>
          <w:rFonts w:ascii="Rockwell" w:hAnsi="Rockwell" w:cs="Rockwell"/>
          <w:sz w:val="24"/>
          <w:szCs w:val="24"/>
          <w:lang w:val="en-GB"/>
        </w:rPr>
        <w:t xml:space="preserve"> </w:t>
      </w:r>
    </w:p>
    <w:p w:rsidR="00AB795B" w:rsidRDefault="00AB795B">
      <w:pPr>
        <w:spacing w:line="360" w:lineRule="auto"/>
        <w:jc w:val="both"/>
        <w:rPr>
          <w:rFonts w:ascii="Rockwell" w:hAnsi="Rockwell" w:cs="Rockwell"/>
          <w:sz w:val="24"/>
          <w:szCs w:val="24"/>
        </w:rPr>
      </w:pPr>
    </w:p>
    <w:p w:rsidR="00CE5995" w:rsidRDefault="00706F65">
      <w:pPr>
        <w:spacing w:line="360" w:lineRule="auto"/>
        <w:jc w:val="both"/>
        <w:rPr>
          <w:rFonts w:ascii="Rockwell" w:hAnsi="Rockwell" w:cs="Rockwell"/>
          <w:sz w:val="24"/>
          <w:szCs w:val="24"/>
        </w:rPr>
      </w:pPr>
      <w:r>
        <w:rPr>
          <w:rFonts w:ascii="Rockwell" w:hAnsi="Rockwell" w:cs="Rockwell"/>
          <w:sz w:val="24"/>
          <w:szCs w:val="24"/>
        </w:rPr>
        <w:t>The</w:t>
      </w:r>
      <w:r w:rsidR="00D37047">
        <w:rPr>
          <w:rFonts w:ascii="Rockwell" w:hAnsi="Rockwell" w:cs="Rockwell"/>
          <w:sz w:val="24"/>
          <w:szCs w:val="24"/>
          <w:lang w:val="en-GB"/>
        </w:rPr>
        <w:t xml:space="preserve"> </w:t>
      </w:r>
      <w:r w:rsidR="00600950">
        <w:rPr>
          <w:rFonts w:ascii="Rockwell" w:hAnsi="Rockwell" w:cs="Rockwell"/>
          <w:sz w:val="24"/>
          <w:szCs w:val="24"/>
          <w:lang w:val="en-GB"/>
        </w:rPr>
        <w:t xml:space="preserve">development of this </w:t>
      </w:r>
      <w:r>
        <w:rPr>
          <w:rFonts w:ascii="Rockwell" w:hAnsi="Rockwell" w:cs="Rockwell"/>
          <w:sz w:val="24"/>
          <w:szCs w:val="24"/>
        </w:rPr>
        <w:t>P</w:t>
      </w:r>
      <w:r w:rsidR="00C66878">
        <w:rPr>
          <w:rFonts w:ascii="Rockwell" w:hAnsi="Rockwell" w:cs="Rockwell"/>
          <w:sz w:val="24"/>
          <w:szCs w:val="24"/>
        </w:rPr>
        <w:t xml:space="preserve">lan will ensure an integrated </w:t>
      </w:r>
      <w:r w:rsidR="00D37047">
        <w:rPr>
          <w:rFonts w:ascii="Rockwell" w:hAnsi="Rockwell" w:cs="Rockwell"/>
          <w:sz w:val="24"/>
          <w:szCs w:val="24"/>
        </w:rPr>
        <w:t xml:space="preserve">approach </w:t>
      </w:r>
      <w:r w:rsidR="00C66878">
        <w:rPr>
          <w:rFonts w:ascii="Rockwell" w:hAnsi="Rockwell" w:cs="Rockwell"/>
          <w:sz w:val="24"/>
          <w:szCs w:val="24"/>
        </w:rPr>
        <w:t xml:space="preserve">in </w:t>
      </w:r>
      <w:r w:rsidR="00C61AE5">
        <w:rPr>
          <w:rFonts w:ascii="Rockwell" w:hAnsi="Rockwell" w:cs="Rockwell"/>
          <w:sz w:val="24"/>
          <w:szCs w:val="24"/>
        </w:rPr>
        <w:t>the decommissioning</w:t>
      </w:r>
      <w:r w:rsidR="00600950">
        <w:rPr>
          <w:rFonts w:ascii="Rockwell" w:hAnsi="Rockwell" w:cs="Rockwell"/>
          <w:sz w:val="24"/>
          <w:szCs w:val="24"/>
          <w:lang w:val="en-GB"/>
        </w:rPr>
        <w:t xml:space="preserve">, rehabilitation, mine site closure </w:t>
      </w:r>
      <w:r>
        <w:rPr>
          <w:rFonts w:ascii="Rockwell" w:hAnsi="Rockwell" w:cs="Rockwell"/>
          <w:sz w:val="24"/>
          <w:szCs w:val="24"/>
          <w:lang w:val="en-GB"/>
        </w:rPr>
        <w:t>and after-</w:t>
      </w:r>
      <w:r w:rsidR="00600950">
        <w:rPr>
          <w:rFonts w:ascii="Rockwell" w:hAnsi="Rockwell" w:cs="Rockwell"/>
          <w:sz w:val="24"/>
          <w:szCs w:val="24"/>
          <w:lang w:val="en-GB"/>
        </w:rPr>
        <w:t>use</w:t>
      </w:r>
      <w:r w:rsidR="00C66878">
        <w:rPr>
          <w:rFonts w:ascii="Rockwell" w:hAnsi="Rockwell" w:cs="Rockwell"/>
          <w:sz w:val="24"/>
          <w:szCs w:val="24"/>
          <w:lang w:val="en-GB"/>
        </w:rPr>
        <w:t xml:space="preserve"> to guarantee </w:t>
      </w:r>
      <w:r w:rsidR="00D37047">
        <w:rPr>
          <w:rFonts w:ascii="Rockwell" w:hAnsi="Rockwell" w:cs="Rockwell"/>
          <w:sz w:val="24"/>
          <w:szCs w:val="24"/>
          <w:lang w:val="en-GB"/>
        </w:rPr>
        <w:t>environmental integrity and public safety</w:t>
      </w:r>
      <w:r w:rsidR="00C66878">
        <w:rPr>
          <w:rFonts w:ascii="Rockwell" w:hAnsi="Rockwell" w:cs="Rockwell"/>
          <w:sz w:val="24"/>
          <w:szCs w:val="24"/>
          <w:lang w:val="en-GB"/>
        </w:rPr>
        <w:t>.</w:t>
      </w:r>
      <w:r w:rsidR="00D37047">
        <w:rPr>
          <w:rFonts w:ascii="Rockwell" w:hAnsi="Rockwell" w:cs="Rockwell"/>
          <w:sz w:val="24"/>
          <w:szCs w:val="24"/>
          <w:lang w:val="en-GB"/>
        </w:rPr>
        <w:t xml:space="preserve"> </w:t>
      </w:r>
      <w:r w:rsidR="00D37047">
        <w:rPr>
          <w:rFonts w:ascii="Rockwell" w:hAnsi="Rockwell" w:cs="Rockwell"/>
          <w:sz w:val="24"/>
          <w:szCs w:val="24"/>
        </w:rPr>
        <w:t xml:space="preserve"> </w:t>
      </w:r>
    </w:p>
    <w:p w:rsidR="00CE5995" w:rsidRDefault="00D37047">
      <w:pPr>
        <w:pStyle w:val="Heading1"/>
        <w:spacing w:line="360" w:lineRule="auto"/>
        <w:jc w:val="both"/>
        <w:rPr>
          <w:rFonts w:ascii="Rockwell" w:hAnsi="Rockwell" w:cs="Rockwell"/>
          <w:b/>
          <w:sz w:val="24"/>
          <w:szCs w:val="24"/>
        </w:rPr>
      </w:pPr>
      <w:bookmarkStart w:id="45" w:name="_Toc11448"/>
      <w:bookmarkStart w:id="46" w:name="_Toc24148"/>
      <w:bookmarkStart w:id="47" w:name="_Toc29219"/>
      <w:r>
        <w:rPr>
          <w:rFonts w:ascii="Rockwell" w:hAnsi="Rockwell" w:cs="Rockwell"/>
          <w:b/>
          <w:color w:val="auto"/>
          <w:sz w:val="24"/>
          <w:szCs w:val="24"/>
          <w:lang w:val="en-GB"/>
        </w:rPr>
        <w:t>3.1</w:t>
      </w:r>
      <w:r>
        <w:rPr>
          <w:rFonts w:ascii="Rockwell" w:hAnsi="Rockwell" w:cs="Rockwell"/>
          <w:b/>
          <w:color w:val="auto"/>
          <w:sz w:val="24"/>
          <w:szCs w:val="24"/>
        </w:rPr>
        <w:t xml:space="preserve"> Typical Structure of the </w:t>
      </w:r>
      <w:r w:rsidR="00671E67">
        <w:rPr>
          <w:rFonts w:ascii="Rockwell" w:hAnsi="Rockwell" w:cs="Rockwell"/>
          <w:b/>
          <w:color w:val="auto"/>
          <w:sz w:val="24"/>
          <w:szCs w:val="24"/>
        </w:rPr>
        <w:t xml:space="preserve">Mine Site Decommissioning </w:t>
      </w:r>
      <w:r w:rsidR="00671E67">
        <w:rPr>
          <w:rFonts w:ascii="Rockwell" w:hAnsi="Rockwell" w:cs="Rockwell"/>
          <w:b/>
          <w:color w:val="auto"/>
          <w:sz w:val="24"/>
          <w:szCs w:val="24"/>
          <w:lang w:val="en-GB"/>
        </w:rPr>
        <w:t xml:space="preserve">and Rehabilitation </w:t>
      </w:r>
      <w:r>
        <w:rPr>
          <w:rFonts w:ascii="Rockwell" w:hAnsi="Rockwell" w:cs="Rockwell"/>
          <w:b/>
          <w:color w:val="auto"/>
          <w:sz w:val="24"/>
          <w:szCs w:val="24"/>
        </w:rPr>
        <w:t>Plan</w:t>
      </w:r>
      <w:bookmarkEnd w:id="45"/>
      <w:bookmarkEnd w:id="46"/>
      <w:bookmarkEnd w:id="47"/>
      <w:r>
        <w:rPr>
          <w:rFonts w:ascii="Rockwell" w:hAnsi="Rockwell" w:cs="Rockwell"/>
          <w:b/>
          <w:color w:val="auto"/>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lang w:val="en-GB"/>
        </w:rPr>
        <w:t xml:space="preserve">The </w:t>
      </w:r>
      <w:r w:rsidR="00671E67">
        <w:rPr>
          <w:rFonts w:ascii="Rockwell" w:hAnsi="Rockwell" w:cs="Rockwell"/>
          <w:sz w:val="24"/>
          <w:szCs w:val="24"/>
        </w:rPr>
        <w:t>P</w:t>
      </w:r>
      <w:r>
        <w:rPr>
          <w:rFonts w:ascii="Rockwell" w:hAnsi="Rockwell" w:cs="Rockwell"/>
          <w:sz w:val="24"/>
          <w:szCs w:val="24"/>
        </w:rPr>
        <w:t>lan should be structured in the following format to ensure consistency across the min</w:t>
      </w:r>
      <w:r w:rsidR="00671E67">
        <w:rPr>
          <w:rFonts w:ascii="Rockwell" w:hAnsi="Rockwell" w:cs="Rockwell"/>
          <w:sz w:val="24"/>
          <w:szCs w:val="24"/>
        </w:rPr>
        <w:t xml:space="preserve">ing sector to enable evaluation for adequacy, accuracy and completeness </w:t>
      </w:r>
      <w:r>
        <w:rPr>
          <w:rFonts w:ascii="Rockwell" w:hAnsi="Rockwell" w:cs="Rockwell"/>
          <w:sz w:val="24"/>
          <w:szCs w:val="24"/>
        </w:rPr>
        <w:t>once submitted</w:t>
      </w:r>
      <w:r w:rsidR="00671E67">
        <w:rPr>
          <w:rFonts w:ascii="Rockwell" w:hAnsi="Rockwell" w:cs="Rockwell"/>
          <w:sz w:val="24"/>
          <w:szCs w:val="24"/>
        </w:rPr>
        <w:t xml:space="preserve"> to NEMA</w:t>
      </w:r>
      <w:r>
        <w:rPr>
          <w:rFonts w:ascii="Rockwell" w:hAnsi="Rockwell" w:cs="Rockwell"/>
          <w:sz w:val="24"/>
          <w:szCs w:val="24"/>
        </w:rPr>
        <w:t>:</w:t>
      </w: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t>Cover Page</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The following information must be included on</w:t>
      </w:r>
      <w:r>
        <w:rPr>
          <w:rFonts w:ascii="Rockwell" w:hAnsi="Rockwell" w:cs="Rockwell"/>
          <w:sz w:val="24"/>
          <w:szCs w:val="24"/>
          <w:lang w:val="en-GB"/>
        </w:rPr>
        <w:t xml:space="preserve"> the </w:t>
      </w:r>
      <w:r>
        <w:rPr>
          <w:rFonts w:ascii="Rockwell" w:hAnsi="Rockwell" w:cs="Rockwell"/>
          <w:sz w:val="24"/>
          <w:szCs w:val="24"/>
        </w:rPr>
        <w:t>cover page</w:t>
      </w:r>
      <w:r>
        <w:rPr>
          <w:rFonts w:ascii="Rockwell" w:hAnsi="Rockwell" w:cs="Rockwell"/>
          <w:sz w:val="24"/>
          <w:szCs w:val="24"/>
          <w:lang w:val="en-GB"/>
        </w:rPr>
        <w:t xml:space="preserve"> of the P</w:t>
      </w:r>
      <w:r w:rsidR="00671E67">
        <w:rPr>
          <w:rFonts w:ascii="Rockwell" w:hAnsi="Rockwell" w:cs="Rockwell"/>
          <w:sz w:val="24"/>
          <w:szCs w:val="24"/>
        </w:rPr>
        <w:t>lan</w:t>
      </w:r>
      <w:r w:rsidR="00A42DD6">
        <w:rPr>
          <w:rFonts w:ascii="Rockwell" w:hAnsi="Rockwell" w:cs="Rockwell"/>
          <w:sz w:val="24"/>
          <w:szCs w:val="24"/>
        </w:rPr>
        <w:t xml:space="preserve"> but not limited to</w:t>
      </w:r>
      <w:r>
        <w:rPr>
          <w:rFonts w:ascii="Rockwell" w:hAnsi="Rockwell" w:cs="Rockwell"/>
          <w:sz w:val="24"/>
          <w:szCs w:val="24"/>
        </w:rPr>
        <w:t xml:space="preserve">: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Title of project;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lang w:val="en-GB"/>
        </w:rPr>
        <w:t>The mine site location</w:t>
      </w:r>
      <w:r w:rsidR="00671E67">
        <w:rPr>
          <w:rFonts w:ascii="Rockwell" w:hAnsi="Rockwell" w:cs="Rockwell"/>
          <w:sz w:val="24"/>
          <w:szCs w:val="24"/>
          <w:lang w:val="en-GB"/>
        </w:rPr>
        <w:t xml:space="preserve"> </w:t>
      </w:r>
      <w:r>
        <w:rPr>
          <w:rFonts w:ascii="Rockwell" w:hAnsi="Rockwell" w:cs="Rockwell"/>
          <w:sz w:val="24"/>
          <w:szCs w:val="24"/>
          <w:lang w:val="en-GB"/>
        </w:rPr>
        <w:t>-</w:t>
      </w:r>
      <w:r w:rsidR="00671E67">
        <w:rPr>
          <w:rFonts w:ascii="Rockwell" w:hAnsi="Rockwell" w:cs="Rockwell"/>
          <w:sz w:val="24"/>
          <w:szCs w:val="24"/>
          <w:lang w:val="en-GB"/>
        </w:rPr>
        <w:t xml:space="preserve"> </w:t>
      </w:r>
      <w:r>
        <w:rPr>
          <w:rFonts w:ascii="Rockwell" w:hAnsi="Rockwell" w:cs="Rockwell"/>
          <w:sz w:val="24"/>
          <w:szCs w:val="24"/>
          <w:lang w:val="en-GB"/>
        </w:rPr>
        <w:t>L.R. Number and GPS Coordinates</w:t>
      </w:r>
      <w:r w:rsidR="007C0156">
        <w:rPr>
          <w:rFonts w:ascii="Rockwell" w:hAnsi="Rockwell" w:cs="Rockwell"/>
          <w:sz w:val="24"/>
          <w:szCs w:val="24"/>
          <w:lang w:val="en-GB"/>
        </w:rPr>
        <w:t>;</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Date of submission;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E</w:t>
      </w:r>
      <w:r w:rsidR="00F04001">
        <w:rPr>
          <w:rFonts w:ascii="Rockwell" w:hAnsi="Rockwell" w:cs="Rockwell"/>
          <w:sz w:val="24"/>
          <w:szCs w:val="24"/>
        </w:rPr>
        <w:t>S</w:t>
      </w:r>
      <w:r>
        <w:rPr>
          <w:rFonts w:ascii="Rockwell" w:hAnsi="Rockwell" w:cs="Rockwell"/>
          <w:sz w:val="24"/>
          <w:szCs w:val="24"/>
        </w:rPr>
        <w:t>IA License Number</w:t>
      </w:r>
      <w:r>
        <w:rPr>
          <w:rFonts w:ascii="Rockwell" w:hAnsi="Rockwell" w:cs="Rockwell"/>
          <w:sz w:val="24"/>
          <w:szCs w:val="24"/>
          <w:lang w:val="en-GB"/>
        </w:rPr>
        <w:t xml:space="preserve"> if applicable</w:t>
      </w:r>
      <w:r>
        <w:rPr>
          <w:rFonts w:ascii="Rockwell" w:hAnsi="Rockwell" w:cs="Rockwell"/>
          <w:sz w:val="24"/>
          <w:szCs w:val="24"/>
        </w:rPr>
        <w:t>;</w:t>
      </w:r>
    </w:p>
    <w:p w:rsidR="00CE5995" w:rsidRDefault="00F04001"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lang w:val="en-GB"/>
        </w:rPr>
        <w:t>Environmental A</w:t>
      </w:r>
      <w:r w:rsidR="00D37047">
        <w:rPr>
          <w:rFonts w:ascii="Rockwell" w:hAnsi="Rockwell" w:cs="Rockwell"/>
          <w:sz w:val="24"/>
          <w:szCs w:val="24"/>
          <w:lang w:val="en-GB"/>
        </w:rPr>
        <w:t>udit reference number</w:t>
      </w:r>
      <w:r>
        <w:rPr>
          <w:rFonts w:ascii="Rockwell" w:hAnsi="Rockwell" w:cs="Rockwell"/>
          <w:sz w:val="24"/>
          <w:szCs w:val="24"/>
          <w:lang w:val="en-GB"/>
        </w:rPr>
        <w:t>;</w:t>
      </w:r>
      <w:r w:rsidR="00D37047">
        <w:rPr>
          <w:rFonts w:ascii="Rockwell" w:hAnsi="Rockwell" w:cs="Rockwell"/>
          <w:sz w:val="24"/>
          <w:szCs w:val="24"/>
        </w:rPr>
        <w:t xml:space="preserve">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Mining permit</w:t>
      </w:r>
      <w:r w:rsidR="00280F9F">
        <w:rPr>
          <w:rFonts w:ascii="Rockwell" w:hAnsi="Rockwell" w:cs="Rockwell"/>
          <w:sz w:val="24"/>
          <w:szCs w:val="24"/>
        </w:rPr>
        <w:t>/license</w:t>
      </w:r>
      <w:r>
        <w:rPr>
          <w:rFonts w:ascii="Rockwell" w:hAnsi="Rockwell" w:cs="Rockwell"/>
          <w:sz w:val="24"/>
          <w:szCs w:val="24"/>
        </w:rPr>
        <w:t xml:space="preserve"> number; </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Company name; and</w:t>
      </w:r>
    </w:p>
    <w:p w:rsidR="00CE5995" w:rsidRDefault="00D37047" w:rsidP="00757A0E">
      <w:pPr>
        <w:numPr>
          <w:ilvl w:val="0"/>
          <w:numId w:val="15"/>
        </w:numPr>
        <w:tabs>
          <w:tab w:val="left" w:pos="420"/>
        </w:tabs>
        <w:spacing w:line="360" w:lineRule="auto"/>
        <w:jc w:val="both"/>
        <w:rPr>
          <w:rFonts w:ascii="Rockwell" w:hAnsi="Rockwell" w:cs="Rockwell"/>
          <w:sz w:val="24"/>
          <w:szCs w:val="24"/>
        </w:rPr>
      </w:pPr>
      <w:r>
        <w:rPr>
          <w:rFonts w:ascii="Rockwell" w:hAnsi="Rockwell" w:cs="Rockwell"/>
          <w:sz w:val="24"/>
          <w:szCs w:val="24"/>
        </w:rPr>
        <w:t>Contact details (including the name, address and con</w:t>
      </w:r>
      <w:r w:rsidR="00671E67">
        <w:rPr>
          <w:rFonts w:ascii="Rockwell" w:hAnsi="Rockwell" w:cs="Rockwell"/>
          <w:sz w:val="24"/>
          <w:szCs w:val="24"/>
        </w:rPr>
        <w:t>tact of the proponents</w:t>
      </w:r>
      <w:r>
        <w:rPr>
          <w:rFonts w:ascii="Rockwell" w:hAnsi="Rockwell" w:cs="Rockwell"/>
          <w:sz w:val="24"/>
          <w:szCs w:val="24"/>
        </w:rPr>
        <w:t xml:space="preserve"> and/or operator).</w:t>
      </w:r>
    </w:p>
    <w:p w:rsidR="00197AFF" w:rsidRDefault="00197AFF">
      <w:pPr>
        <w:numPr>
          <w:ilvl w:val="255"/>
          <w:numId w:val="0"/>
        </w:numPr>
        <w:spacing w:line="360" w:lineRule="auto"/>
        <w:ind w:left="840"/>
        <w:jc w:val="both"/>
        <w:rPr>
          <w:rFonts w:ascii="Rockwell" w:hAnsi="Rockwell" w:cs="Rockwell"/>
          <w:sz w:val="24"/>
          <w:szCs w:val="24"/>
        </w:rPr>
      </w:pP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t>Table of Contents</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Table of Contents for </w:t>
      </w:r>
      <w:r w:rsidR="00694E51">
        <w:rPr>
          <w:rFonts w:ascii="Rockwell" w:hAnsi="Rockwell" w:cs="Rockwell"/>
          <w:sz w:val="24"/>
          <w:szCs w:val="24"/>
        </w:rPr>
        <w:t>the P</w:t>
      </w:r>
      <w:r>
        <w:rPr>
          <w:rFonts w:ascii="Rockwell" w:hAnsi="Rockwell" w:cs="Rockwell"/>
          <w:sz w:val="24"/>
          <w:szCs w:val="24"/>
        </w:rPr>
        <w:t>lan (among other standard items) must inc</w:t>
      </w:r>
      <w:r w:rsidR="00757A0E">
        <w:rPr>
          <w:rFonts w:ascii="Rockwell" w:hAnsi="Rockwell" w:cs="Rockwell"/>
          <w:sz w:val="24"/>
          <w:szCs w:val="24"/>
        </w:rPr>
        <w:t xml:space="preserve">lude; an authentication page, </w:t>
      </w:r>
      <w:r>
        <w:rPr>
          <w:rFonts w:ascii="Rockwell" w:hAnsi="Rockwell" w:cs="Rockwell"/>
          <w:sz w:val="24"/>
          <w:szCs w:val="24"/>
        </w:rPr>
        <w:t>list of figures, tables</w:t>
      </w:r>
      <w:r w:rsidR="00757A0E">
        <w:rPr>
          <w:rFonts w:ascii="Rockwell" w:hAnsi="Rockwell" w:cs="Rockwell"/>
          <w:sz w:val="24"/>
          <w:szCs w:val="24"/>
        </w:rPr>
        <w:t xml:space="preserve">, photos of the project site intended for decommissioning (before and after) </w:t>
      </w:r>
      <w:r>
        <w:rPr>
          <w:rFonts w:ascii="Rockwell" w:hAnsi="Rockwell" w:cs="Rockwell"/>
          <w:sz w:val="24"/>
          <w:szCs w:val="24"/>
        </w:rPr>
        <w:t xml:space="preserve">and maps as </w:t>
      </w:r>
      <w:r w:rsidR="00757A0E">
        <w:rPr>
          <w:rFonts w:ascii="Rockwell" w:hAnsi="Rockwell" w:cs="Rockwell"/>
          <w:sz w:val="24"/>
          <w:szCs w:val="24"/>
        </w:rPr>
        <w:t xml:space="preserve">may be </w:t>
      </w:r>
      <w:r>
        <w:rPr>
          <w:rFonts w:ascii="Rockwell" w:hAnsi="Rockwell" w:cs="Rockwell"/>
          <w:sz w:val="24"/>
          <w:szCs w:val="24"/>
        </w:rPr>
        <w:t>appropriate.</w:t>
      </w:r>
    </w:p>
    <w:p w:rsidR="00CE5995" w:rsidRDefault="00CE5995">
      <w:pPr>
        <w:spacing w:line="360" w:lineRule="auto"/>
        <w:jc w:val="both"/>
        <w:rPr>
          <w:rFonts w:ascii="Rockwell" w:hAnsi="Rockwell" w:cs="Rockwell"/>
          <w:sz w:val="24"/>
          <w:szCs w:val="24"/>
        </w:rPr>
      </w:pPr>
    </w:p>
    <w:p w:rsidR="00CE5995" w:rsidRDefault="00D37047">
      <w:pPr>
        <w:pStyle w:val="ListParagraph"/>
        <w:numPr>
          <w:ilvl w:val="0"/>
          <w:numId w:val="3"/>
        </w:numPr>
        <w:spacing w:line="360" w:lineRule="auto"/>
        <w:jc w:val="both"/>
        <w:rPr>
          <w:rFonts w:ascii="Rockwell" w:hAnsi="Rockwell" w:cs="Rockwell"/>
          <w:sz w:val="24"/>
          <w:szCs w:val="24"/>
        </w:rPr>
      </w:pPr>
      <w:r>
        <w:rPr>
          <w:rFonts w:ascii="Rockwell" w:hAnsi="Rockwell" w:cs="Rockwell"/>
          <w:b/>
          <w:sz w:val="24"/>
          <w:szCs w:val="24"/>
        </w:rPr>
        <w:t>Scope and Purpose</w:t>
      </w:r>
      <w:r>
        <w:rPr>
          <w:rFonts w:ascii="Rockwell" w:hAnsi="Rockwell" w:cs="Rockwell"/>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This section describes why the </w:t>
      </w:r>
      <w:r w:rsidR="00757A0E">
        <w:rPr>
          <w:rFonts w:ascii="Rockwell" w:hAnsi="Rockwell" w:cs="Rockwell"/>
          <w:sz w:val="24"/>
          <w:szCs w:val="24"/>
        </w:rPr>
        <w:t>P</w:t>
      </w:r>
      <w:r>
        <w:rPr>
          <w:rFonts w:ascii="Rockwell" w:hAnsi="Rockwell" w:cs="Rockwell"/>
          <w:sz w:val="24"/>
          <w:szCs w:val="24"/>
        </w:rPr>
        <w:t xml:space="preserve">lan is being </w:t>
      </w:r>
      <w:r>
        <w:rPr>
          <w:rFonts w:ascii="Rockwell" w:hAnsi="Rockwell" w:cs="Rockwell"/>
          <w:sz w:val="24"/>
          <w:szCs w:val="24"/>
          <w:lang w:val="en-GB"/>
        </w:rPr>
        <w:t xml:space="preserve">prepared </w:t>
      </w:r>
      <w:r>
        <w:rPr>
          <w:rFonts w:ascii="Rockwell" w:hAnsi="Rockwell" w:cs="Rockwell"/>
          <w:sz w:val="24"/>
          <w:szCs w:val="24"/>
        </w:rPr>
        <w:t>and details out the scope of the Plan and other relevant introductory information.</w:t>
      </w:r>
    </w:p>
    <w:p w:rsidR="00CE5995" w:rsidRDefault="00D37047">
      <w:pPr>
        <w:spacing w:line="360" w:lineRule="auto"/>
        <w:jc w:val="both"/>
        <w:rPr>
          <w:rFonts w:ascii="Rockwell" w:hAnsi="Rockwell" w:cs="Rockwell"/>
          <w:sz w:val="24"/>
          <w:szCs w:val="24"/>
        </w:rPr>
      </w:pPr>
      <w:r>
        <w:rPr>
          <w:rFonts w:ascii="Rockwell" w:hAnsi="Rockwell" w:cs="Rockwell"/>
          <w:sz w:val="24"/>
          <w:szCs w:val="24"/>
        </w:rPr>
        <w:tab/>
      </w:r>
    </w:p>
    <w:p w:rsidR="00CE5995" w:rsidRDefault="00757A0E">
      <w:pPr>
        <w:pStyle w:val="ListParagraph"/>
        <w:numPr>
          <w:ilvl w:val="0"/>
          <w:numId w:val="3"/>
        </w:numPr>
        <w:spacing w:line="360" w:lineRule="auto"/>
        <w:jc w:val="both"/>
        <w:rPr>
          <w:rFonts w:ascii="Rockwell" w:hAnsi="Rockwell" w:cs="Rockwell"/>
          <w:b/>
          <w:sz w:val="24"/>
          <w:szCs w:val="24"/>
        </w:rPr>
      </w:pPr>
      <w:r>
        <w:rPr>
          <w:rFonts w:ascii="Rockwell" w:hAnsi="Rockwell" w:cs="Rockwell"/>
          <w:b/>
          <w:sz w:val="24"/>
          <w:szCs w:val="24"/>
        </w:rPr>
        <w:t>Project Description</w:t>
      </w:r>
    </w:p>
    <w:p w:rsidR="00CE5995" w:rsidRDefault="00D37047">
      <w:pPr>
        <w:spacing w:line="360" w:lineRule="auto"/>
        <w:jc w:val="both"/>
        <w:rPr>
          <w:rFonts w:ascii="Rockwell" w:hAnsi="Rockwell" w:cs="Rockwell"/>
          <w:sz w:val="24"/>
          <w:szCs w:val="24"/>
        </w:rPr>
      </w:pPr>
      <w:r>
        <w:rPr>
          <w:rFonts w:ascii="Rockwell" w:hAnsi="Rockwell" w:cs="Rockwell"/>
          <w:sz w:val="24"/>
          <w:szCs w:val="24"/>
        </w:rPr>
        <w:t>This section de</w:t>
      </w:r>
      <w:r w:rsidR="0052152E">
        <w:rPr>
          <w:rFonts w:ascii="Rockwell" w:hAnsi="Rockwell" w:cs="Rockwell"/>
          <w:sz w:val="24"/>
          <w:szCs w:val="24"/>
        </w:rPr>
        <w:t>tails site description, physical and geological characteristics of the site and mining operations being undertaken. T</w:t>
      </w:r>
      <w:r>
        <w:rPr>
          <w:rFonts w:ascii="Rockwell" w:hAnsi="Rockwell" w:cs="Rockwell"/>
          <w:sz w:val="24"/>
          <w:szCs w:val="24"/>
        </w:rPr>
        <w:t>he following inf</w:t>
      </w:r>
      <w:r w:rsidR="00671E67">
        <w:rPr>
          <w:rFonts w:ascii="Rockwell" w:hAnsi="Rockwell" w:cs="Rockwell"/>
          <w:sz w:val="24"/>
          <w:szCs w:val="24"/>
        </w:rPr>
        <w:t xml:space="preserve">ormation </w:t>
      </w:r>
      <w:r w:rsidR="0052152E">
        <w:rPr>
          <w:rFonts w:ascii="Rockwell" w:hAnsi="Rockwell" w:cs="Rockwell"/>
          <w:sz w:val="24"/>
          <w:szCs w:val="24"/>
        </w:rPr>
        <w:t xml:space="preserve">must be provided in the description </w:t>
      </w:r>
      <w:r w:rsidR="00671E67">
        <w:rPr>
          <w:rFonts w:ascii="Rockwell" w:hAnsi="Rockwell" w:cs="Rockwell"/>
          <w:sz w:val="24"/>
          <w:szCs w:val="24"/>
        </w:rPr>
        <w:t>but not limited to</w:t>
      </w:r>
      <w:r w:rsidR="00757A0E">
        <w:rPr>
          <w:rFonts w:ascii="Rockwell" w:hAnsi="Rockwell" w:cs="Rockwell"/>
          <w:sz w:val="24"/>
          <w:szCs w:val="24"/>
        </w:rPr>
        <w:t>:</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Land ownership including occupancy, mining tenure, postal and site address, and contact details;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Location of the operation, including a list of all relevant tenements and maps showing tenement boundaries, nearby sensitive receptors and the location of the mine in relation to the local and regional setting;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An overview of the operations with a</w:t>
      </w:r>
      <w:r>
        <w:rPr>
          <w:rFonts w:ascii="Rockwell" w:hAnsi="Rockwell" w:cs="Rockwell"/>
          <w:sz w:val="24"/>
          <w:szCs w:val="24"/>
        </w:rPr>
        <w:tab/>
        <w:t xml:space="preserve">description of the major mine components; and </w:t>
      </w:r>
      <w:r>
        <w:rPr>
          <w:rFonts w:ascii="Rockwell" w:hAnsi="Rockwell" w:cs="Rockwell"/>
          <w:sz w:val="24"/>
          <w:szCs w:val="24"/>
          <w:lang w:val="en-GB"/>
        </w:rPr>
        <w:t xml:space="preserve">a </w:t>
      </w:r>
      <w:r>
        <w:rPr>
          <w:rFonts w:ascii="Rockwell" w:hAnsi="Rockwell" w:cs="Rockwell"/>
          <w:sz w:val="24"/>
          <w:szCs w:val="24"/>
        </w:rPr>
        <w:t xml:space="preserve">figure showing the mine site layout and identifying all disturbed areas;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Geology</w:t>
      </w:r>
      <w:r>
        <w:rPr>
          <w:rFonts w:ascii="Rockwell" w:hAnsi="Rockwell" w:cs="Rockwell"/>
          <w:sz w:val="24"/>
          <w:szCs w:val="24"/>
        </w:rPr>
        <w:t xml:space="preserve">: Briefly describe the topography and general geology indicating rock types available, the chemical constituents of the rocks / minerals including toxic elements if any, at the mine site;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Reserves</w:t>
      </w:r>
      <w:r>
        <w:rPr>
          <w:rFonts w:ascii="Rockwell" w:hAnsi="Rockwell" w:cs="Rockwell"/>
          <w:sz w:val="24"/>
          <w:szCs w:val="24"/>
        </w:rPr>
        <w:t xml:space="preserve">: Indicate the </w:t>
      </w:r>
      <w:r>
        <w:rPr>
          <w:rFonts w:ascii="Rockwell" w:hAnsi="Rockwell" w:cs="Rockwell"/>
          <w:sz w:val="24"/>
          <w:szCs w:val="24"/>
          <w:lang w:val="en-GB"/>
        </w:rPr>
        <w:t xml:space="preserve">types of the </w:t>
      </w:r>
      <w:r>
        <w:rPr>
          <w:rFonts w:ascii="Rockwell" w:hAnsi="Rockwell" w:cs="Rockwell"/>
          <w:sz w:val="24"/>
          <w:szCs w:val="24"/>
        </w:rPr>
        <w:t xml:space="preserve">mineral reserves available in the lease area estimated in the last mining plan / mining scheme approved along with the balance mineral reserves at the proposed mine closure including its quality available (for final mine closure plan only);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b/>
          <w:bCs/>
          <w:sz w:val="24"/>
          <w:szCs w:val="24"/>
        </w:rPr>
        <w:t>Mining Method</w:t>
      </w:r>
      <w:r>
        <w:rPr>
          <w:rFonts w:ascii="Rockwell" w:hAnsi="Rockwell" w:cs="Rockwell"/>
          <w:sz w:val="24"/>
          <w:szCs w:val="24"/>
        </w:rPr>
        <w:t xml:space="preserve">: Describe in brief the mining method followed to win the mineral, extent of mechanization, mining machinery deployed, </w:t>
      </w:r>
      <w:r w:rsidR="00DB1CB6">
        <w:rPr>
          <w:rFonts w:ascii="Rockwell" w:hAnsi="Rockwell" w:cs="Rockwell"/>
          <w:sz w:val="24"/>
          <w:szCs w:val="24"/>
        </w:rPr>
        <w:t xml:space="preserve">auxiliary equipment, </w:t>
      </w:r>
      <w:r>
        <w:rPr>
          <w:rFonts w:ascii="Rockwell" w:hAnsi="Rockwell" w:cs="Rockwell"/>
          <w:sz w:val="24"/>
          <w:szCs w:val="24"/>
        </w:rPr>
        <w:t>production level</w:t>
      </w:r>
      <w:r w:rsidR="0052152E">
        <w:rPr>
          <w:rFonts w:ascii="Rockwell" w:hAnsi="Rockwell" w:cs="Rockwell"/>
          <w:sz w:val="24"/>
          <w:szCs w:val="24"/>
        </w:rPr>
        <w:t xml:space="preserve">, chemicals </w:t>
      </w:r>
      <w:r w:rsidR="00671E67">
        <w:rPr>
          <w:rFonts w:ascii="Rockwell" w:hAnsi="Rockwell" w:cs="Rockwell"/>
          <w:sz w:val="24"/>
          <w:szCs w:val="24"/>
        </w:rPr>
        <w:t>among others</w:t>
      </w:r>
      <w:r>
        <w:rPr>
          <w:rFonts w:ascii="Rockwell" w:hAnsi="Rockwell" w:cs="Rockwell"/>
          <w:sz w:val="24"/>
          <w:szCs w:val="24"/>
        </w:rPr>
        <w:t xml:space="preserve">; </w:t>
      </w:r>
    </w:p>
    <w:p w:rsidR="00CE5995"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sidRPr="00671E67">
        <w:rPr>
          <w:rFonts w:ascii="Rockwell" w:hAnsi="Rockwell" w:cs="Rockwell"/>
          <w:b/>
          <w:bCs/>
          <w:sz w:val="24"/>
          <w:szCs w:val="24"/>
        </w:rPr>
        <w:t>Mineral Beneficiation</w:t>
      </w:r>
      <w:r w:rsidRPr="00671E67">
        <w:rPr>
          <w:rFonts w:ascii="Rockwell" w:hAnsi="Rockwell" w:cs="Rockwell"/>
          <w:b/>
          <w:sz w:val="24"/>
          <w:szCs w:val="24"/>
        </w:rPr>
        <w:t>:</w:t>
      </w:r>
      <w:r>
        <w:rPr>
          <w:rFonts w:ascii="Rockwell" w:hAnsi="Rockwell" w:cs="Rockwell"/>
          <w:sz w:val="24"/>
          <w:szCs w:val="24"/>
        </w:rPr>
        <w:t xml:space="preserve"> Describe in brief the mineral beneficiation practice if any indicating the process description</w:t>
      </w:r>
      <w:r w:rsidR="00757A0E">
        <w:rPr>
          <w:rFonts w:ascii="Rockwell" w:hAnsi="Rockwell" w:cs="Rockwell"/>
          <w:sz w:val="24"/>
          <w:szCs w:val="24"/>
        </w:rPr>
        <w:t>; and</w:t>
      </w:r>
    </w:p>
    <w:p w:rsidR="007B421F" w:rsidRPr="00DB1CB6" w:rsidRDefault="00D37047" w:rsidP="00757A0E">
      <w:pPr>
        <w:pStyle w:val="ListParagraph"/>
        <w:numPr>
          <w:ilvl w:val="0"/>
          <w:numId w:val="16"/>
        </w:numPr>
        <w:tabs>
          <w:tab w:val="left" w:pos="420"/>
        </w:tabs>
        <w:spacing w:line="360" w:lineRule="auto"/>
        <w:jc w:val="both"/>
        <w:rPr>
          <w:rFonts w:ascii="Rockwell" w:hAnsi="Rockwell" w:cs="Rockwell"/>
          <w:sz w:val="24"/>
          <w:szCs w:val="24"/>
        </w:rPr>
      </w:pPr>
      <w:r>
        <w:rPr>
          <w:rFonts w:ascii="Rockwell" w:hAnsi="Rockwell" w:cs="Rockwell"/>
          <w:sz w:val="24"/>
          <w:szCs w:val="24"/>
        </w:rPr>
        <w:t>Indicate di</w:t>
      </w:r>
      <w:r w:rsidR="00DB1CB6">
        <w:rPr>
          <w:rFonts w:ascii="Rockwell" w:hAnsi="Rockwell" w:cs="Rockwell"/>
          <w:sz w:val="24"/>
          <w:szCs w:val="24"/>
        </w:rPr>
        <w:t>scharge details of any tailings/middling’s and their disposal</w:t>
      </w:r>
      <w:r w:rsidR="007B421F">
        <w:rPr>
          <w:rFonts w:ascii="Rockwell" w:hAnsi="Rockwell" w:cs="Rockwell"/>
          <w:sz w:val="24"/>
          <w:szCs w:val="24"/>
        </w:rPr>
        <w:t>/</w:t>
      </w:r>
      <w:r w:rsidR="00DB1CB6">
        <w:rPr>
          <w:rFonts w:ascii="Rockwell" w:hAnsi="Rockwell" w:cs="Rockwell"/>
          <w:sz w:val="24"/>
          <w:szCs w:val="24"/>
        </w:rPr>
        <w:t>utilization practice followed</w:t>
      </w:r>
      <w:r w:rsidR="007B421F">
        <w:rPr>
          <w:rFonts w:ascii="Rockwell" w:hAnsi="Rockwell" w:cs="Rockwell"/>
          <w:sz w:val="24"/>
          <w:szCs w:val="24"/>
        </w:rPr>
        <w:t xml:space="preserve"> an</w:t>
      </w:r>
      <w:r w:rsidR="00DB1CB6">
        <w:rPr>
          <w:rFonts w:ascii="Rockwell" w:hAnsi="Rockwell" w:cs="Rockwell"/>
          <w:sz w:val="24"/>
          <w:szCs w:val="24"/>
        </w:rPr>
        <w:t>d m</w:t>
      </w:r>
      <w:r w:rsidR="007B421F" w:rsidRPr="00DB1CB6">
        <w:rPr>
          <w:rFonts w:ascii="Rockwell" w:hAnsi="Rockwell" w:cs="Rockwell"/>
          <w:sz w:val="24"/>
          <w:szCs w:val="24"/>
        </w:rPr>
        <w:t>anagement of overburden</w:t>
      </w:r>
      <w:r w:rsidR="00757A0E">
        <w:rPr>
          <w:rFonts w:ascii="Rockwell" w:hAnsi="Rockwell" w:cs="Rockwell"/>
          <w:sz w:val="24"/>
          <w:szCs w:val="24"/>
        </w:rPr>
        <w:t>.</w:t>
      </w:r>
    </w:p>
    <w:p w:rsidR="00DB1CB6" w:rsidRPr="00DB1CB6" w:rsidRDefault="00DB1CB6" w:rsidP="00DB1CB6">
      <w:pPr>
        <w:tabs>
          <w:tab w:val="left" w:pos="420"/>
        </w:tabs>
        <w:spacing w:line="360" w:lineRule="auto"/>
        <w:jc w:val="both"/>
        <w:rPr>
          <w:rFonts w:ascii="Rockwell" w:hAnsi="Rockwell" w:cs="Rockwell"/>
          <w:sz w:val="24"/>
          <w:szCs w:val="24"/>
        </w:rPr>
      </w:pPr>
    </w:p>
    <w:p w:rsidR="00CE5995" w:rsidRDefault="00BB42DC">
      <w:pPr>
        <w:numPr>
          <w:ilvl w:val="255"/>
          <w:numId w:val="0"/>
        </w:numPr>
        <w:spacing w:line="360" w:lineRule="auto"/>
        <w:ind w:left="360"/>
        <w:jc w:val="both"/>
        <w:outlineLvl w:val="0"/>
        <w:rPr>
          <w:rFonts w:ascii="Rockwell" w:hAnsi="Rockwell" w:cs="Rockwell"/>
          <w:b/>
          <w:sz w:val="24"/>
          <w:szCs w:val="24"/>
        </w:rPr>
      </w:pPr>
      <w:bookmarkStart w:id="48" w:name="_Toc31325"/>
      <w:bookmarkStart w:id="49" w:name="_Toc23343"/>
      <w:bookmarkStart w:id="50" w:name="_Toc8369"/>
      <w:r>
        <w:rPr>
          <w:rFonts w:ascii="Rockwell" w:hAnsi="Rockwell" w:cs="Rockwell"/>
          <w:b/>
          <w:sz w:val="24"/>
          <w:szCs w:val="24"/>
        </w:rPr>
        <w:t xml:space="preserve">3.2 </w:t>
      </w:r>
      <w:r w:rsidR="00D37047">
        <w:rPr>
          <w:rFonts w:ascii="Rockwell" w:hAnsi="Rockwell" w:cs="Rockwell"/>
          <w:b/>
          <w:sz w:val="24"/>
          <w:szCs w:val="24"/>
        </w:rPr>
        <w:t xml:space="preserve">Key </w:t>
      </w:r>
      <w:r w:rsidR="0052152E">
        <w:rPr>
          <w:rFonts w:ascii="Rockwell" w:hAnsi="Rockwell" w:cs="Rockwell"/>
          <w:b/>
          <w:sz w:val="24"/>
          <w:szCs w:val="24"/>
        </w:rPr>
        <w:t xml:space="preserve">Issues </w:t>
      </w:r>
      <w:r w:rsidR="00D37047">
        <w:rPr>
          <w:rFonts w:ascii="Rockwell" w:hAnsi="Rockwell" w:cs="Rockwell"/>
          <w:b/>
          <w:sz w:val="24"/>
          <w:szCs w:val="24"/>
        </w:rPr>
        <w:t xml:space="preserve">in the </w:t>
      </w:r>
      <w:r w:rsidR="0052152E">
        <w:rPr>
          <w:rFonts w:ascii="Rockwell" w:hAnsi="Rockwell" w:cs="Rockwell"/>
          <w:b/>
          <w:sz w:val="24"/>
          <w:szCs w:val="24"/>
        </w:rPr>
        <w:t xml:space="preserve">Mine Site Decommissioning </w:t>
      </w:r>
      <w:r w:rsidR="00D37047">
        <w:rPr>
          <w:rFonts w:ascii="Rockwell" w:hAnsi="Rockwell" w:cs="Rockwell"/>
          <w:b/>
          <w:sz w:val="24"/>
          <w:szCs w:val="24"/>
          <w:lang w:val="en-GB"/>
        </w:rPr>
        <w:t xml:space="preserve">and </w:t>
      </w:r>
      <w:r w:rsidR="0052152E">
        <w:rPr>
          <w:rFonts w:ascii="Rockwell" w:hAnsi="Rockwell" w:cs="Rockwell"/>
          <w:b/>
          <w:sz w:val="24"/>
          <w:szCs w:val="24"/>
          <w:lang w:val="en-GB"/>
        </w:rPr>
        <w:t xml:space="preserve">Rehabilitation </w:t>
      </w:r>
      <w:r w:rsidR="0052152E">
        <w:rPr>
          <w:rFonts w:ascii="Rockwell" w:hAnsi="Rockwell" w:cs="Rockwell"/>
          <w:b/>
          <w:sz w:val="24"/>
          <w:szCs w:val="24"/>
        </w:rPr>
        <w:t>Plan</w:t>
      </w:r>
      <w:bookmarkEnd w:id="48"/>
      <w:bookmarkEnd w:id="49"/>
      <w:bookmarkEnd w:id="50"/>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Planning for mine closure involves consideration of a number of often complex issues including technical, legal, financial and socio-economic aspects. The focus here is on the technical issues that relate to environmental degradation caused by the mining and its subsequent </w:t>
      </w:r>
      <w:r w:rsidR="004D7143">
        <w:rPr>
          <w:rFonts w:ascii="Rockwell" w:hAnsi="Rockwell" w:cs="Rockwell"/>
          <w:sz w:val="24"/>
          <w:szCs w:val="24"/>
        </w:rPr>
        <w:t>rehabilitation</w:t>
      </w:r>
      <w:r>
        <w:rPr>
          <w:rFonts w:ascii="Rockwell" w:hAnsi="Rockwell" w:cs="Rockwell"/>
          <w:sz w:val="24"/>
          <w:szCs w:val="24"/>
        </w:rPr>
        <w:t xml:space="preserve">. </w:t>
      </w:r>
    </w:p>
    <w:p w:rsidR="00197AFF" w:rsidRDefault="00197AFF">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Below is a list of key mine site decommissioning and rehabilitation parameters and monitorable in</w:t>
      </w:r>
      <w:r w:rsidR="009A2432">
        <w:rPr>
          <w:rFonts w:ascii="Rockwell" w:hAnsi="Rockwell" w:cs="Rockwell"/>
          <w:sz w:val="24"/>
          <w:szCs w:val="24"/>
        </w:rPr>
        <w:t>dicators to be addressed but not</w:t>
      </w:r>
      <w:r>
        <w:rPr>
          <w:rFonts w:ascii="Rockwell" w:hAnsi="Rockwell" w:cs="Rockwell"/>
          <w:sz w:val="24"/>
          <w:szCs w:val="24"/>
        </w:rPr>
        <w:t xml:space="preserve"> limited to; </w:t>
      </w:r>
    </w:p>
    <w:p w:rsidR="00CE5995" w:rsidRDefault="00CE5995">
      <w:p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51" w:name="_Toc30610"/>
      <w:bookmarkStart w:id="52" w:name="_Toc15830"/>
      <w:bookmarkStart w:id="53" w:name="_Toc2150"/>
      <w:r>
        <w:rPr>
          <w:rFonts w:ascii="Rockwell" w:hAnsi="Rockwell" w:cs="Rockwell"/>
          <w:b/>
          <w:sz w:val="24"/>
          <w:szCs w:val="24"/>
        </w:rPr>
        <w:t>3.2.1 Water Quality and Quantity:</w:t>
      </w:r>
      <w:bookmarkEnd w:id="51"/>
      <w:bookmarkEnd w:id="52"/>
      <w:bookmarkEnd w:id="53"/>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water quality and quantity status prior to the mining operations.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Describe in detail the existing surface and ground water bodies available in the mining areas and the measures to be taken for</w:t>
      </w:r>
      <w:r w:rsidR="0052152E">
        <w:rPr>
          <w:rFonts w:ascii="Rockwell" w:hAnsi="Rockwell" w:cs="Rockwell"/>
          <w:sz w:val="24"/>
          <w:szCs w:val="24"/>
        </w:rPr>
        <w:t xml:space="preserve"> protection of the same. These </w:t>
      </w:r>
      <w:r>
        <w:rPr>
          <w:rFonts w:ascii="Rockwell" w:hAnsi="Rockwell" w:cs="Rockwell"/>
          <w:sz w:val="24"/>
          <w:szCs w:val="24"/>
        </w:rPr>
        <w:t>should include control of erosion, sedimentation, siltation, water treatment, diversion of water courses. Additionally, measures for protection of contaminated ground and surface water in particular considering leach pads, waste facilities with sulfidic mine waste, collection ponds or any material containing chemical products or contaminated water, sediments, soils or waste.</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Quantity and quality of surface water bodies should also be indicated and corrective measures proposed to meet the water quality standards.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Report of hydrological study carried out in the area may also be submitted.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water balance chart should be given. </w:t>
      </w:r>
    </w:p>
    <w:p w:rsidR="00CE5995" w:rsidRDefault="00D37047"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If there is potential of acid mine drainage the method of prevention and treatment should be given.</w:t>
      </w:r>
    </w:p>
    <w:p w:rsidR="009A2432" w:rsidRDefault="009A2432" w:rsidP="00197AFF">
      <w:pPr>
        <w:pStyle w:val="ListParagraph"/>
        <w:numPr>
          <w:ilvl w:val="0"/>
          <w:numId w:val="17"/>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w:t>
      </w:r>
      <w:r w:rsidR="00A27C20">
        <w:rPr>
          <w:rFonts w:ascii="Rockwell" w:hAnsi="Rockwell" w:cs="Rockwell"/>
          <w:sz w:val="24"/>
          <w:szCs w:val="24"/>
        </w:rPr>
        <w:t xml:space="preserve"> such as heavy metals, PH, total hardness, calcium hardness, magnesium hardness, chlorides, sulfates and total dissolved solids, grease, Total P</w:t>
      </w:r>
      <w:r w:rsidR="002026A7">
        <w:rPr>
          <w:rFonts w:ascii="Rockwell" w:hAnsi="Rockwell" w:cs="Rockwell"/>
          <w:sz w:val="24"/>
          <w:szCs w:val="24"/>
        </w:rPr>
        <w:t>olyaromatic</w:t>
      </w:r>
      <w:r w:rsidR="00A27C20">
        <w:rPr>
          <w:rFonts w:ascii="Rockwell" w:hAnsi="Rockwell" w:cs="Rockwell"/>
          <w:sz w:val="24"/>
          <w:szCs w:val="24"/>
        </w:rPr>
        <w:t xml:space="preserve"> Hydrocarbons (TPH), Benzene, </w:t>
      </w:r>
      <w:r w:rsidR="007E4B50">
        <w:rPr>
          <w:rFonts w:ascii="Rockwell" w:hAnsi="Rockwell" w:cs="Rockwell"/>
          <w:sz w:val="24"/>
          <w:szCs w:val="24"/>
        </w:rPr>
        <w:t>Toluene</w:t>
      </w:r>
      <w:r w:rsidR="0052152E">
        <w:rPr>
          <w:rFonts w:ascii="Rockwell" w:hAnsi="Rockwell" w:cs="Rockwell"/>
          <w:sz w:val="24"/>
          <w:szCs w:val="24"/>
        </w:rPr>
        <w:t xml:space="preserve">, </w:t>
      </w:r>
      <w:r w:rsidR="007E4B50">
        <w:rPr>
          <w:rFonts w:ascii="Rockwell" w:hAnsi="Rockwell" w:cs="Rockwell"/>
          <w:sz w:val="24"/>
          <w:szCs w:val="24"/>
        </w:rPr>
        <w:t>Ethylbenzene</w:t>
      </w:r>
      <w:r w:rsidR="0052152E">
        <w:rPr>
          <w:rFonts w:ascii="Rockwell" w:hAnsi="Rockwell" w:cs="Rockwell"/>
          <w:sz w:val="24"/>
          <w:szCs w:val="24"/>
        </w:rPr>
        <w:t>, Xylene (BTEX)</w:t>
      </w:r>
      <w:r w:rsidR="00A27C20">
        <w:rPr>
          <w:rFonts w:ascii="Rockwell" w:hAnsi="Rockwell" w:cs="Rockwell"/>
          <w:sz w:val="24"/>
          <w:szCs w:val="24"/>
        </w:rPr>
        <w:t xml:space="preserve"> </w:t>
      </w:r>
      <w:r>
        <w:rPr>
          <w:rFonts w:ascii="Rockwell" w:hAnsi="Rockwell" w:cs="Rockwell"/>
          <w:sz w:val="24"/>
          <w:szCs w:val="24"/>
        </w:rPr>
        <w:t>should be considered</w:t>
      </w:r>
      <w:r w:rsidR="00A27C20">
        <w:rPr>
          <w:rFonts w:ascii="Rockwell" w:hAnsi="Rockwell" w:cs="Rockwell"/>
          <w:sz w:val="24"/>
          <w:szCs w:val="24"/>
        </w:rPr>
        <w:t xml:space="preserve"> among others</w:t>
      </w:r>
      <w:r>
        <w:rPr>
          <w:rFonts w:ascii="Rockwell" w:hAnsi="Rockwell" w:cs="Rockwell"/>
          <w:sz w:val="24"/>
          <w:szCs w:val="24"/>
        </w:rPr>
        <w:t>.</w:t>
      </w:r>
    </w:p>
    <w:p w:rsidR="00CE5995" w:rsidRDefault="00CE5995">
      <w:pPr>
        <w:pStyle w:val="ListParagraph"/>
        <w:numPr>
          <w:ilvl w:val="255"/>
          <w:numId w:val="0"/>
        </w:numPr>
        <w:spacing w:line="360" w:lineRule="auto"/>
        <w:ind w:left="360"/>
        <w:jc w:val="both"/>
        <w:rPr>
          <w:rFonts w:ascii="Rockwell" w:hAnsi="Rockwell" w:cs="Rockwell"/>
          <w:b/>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sz w:val="24"/>
          <w:szCs w:val="24"/>
        </w:rPr>
      </w:pPr>
      <w:bookmarkStart w:id="54" w:name="_Toc21243"/>
      <w:bookmarkStart w:id="55" w:name="_Toc10475"/>
      <w:bookmarkStart w:id="56" w:name="_Toc7767"/>
      <w:r>
        <w:rPr>
          <w:rFonts w:ascii="Rockwell" w:hAnsi="Rockwell" w:cs="Rockwell"/>
          <w:b/>
          <w:sz w:val="24"/>
          <w:szCs w:val="24"/>
        </w:rPr>
        <w:t>3.2.2 Air Quality:</w:t>
      </w:r>
      <w:bookmarkEnd w:id="54"/>
      <w:bookmarkEnd w:id="55"/>
      <w:bookmarkEnd w:id="56"/>
      <w:r>
        <w:rPr>
          <w:rFonts w:ascii="Rockwell" w:hAnsi="Rockwell" w:cs="Rockwell"/>
          <w:sz w:val="24"/>
          <w:szCs w:val="24"/>
        </w:rPr>
        <w:t xml:space="preserve">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air quality status prior to the mining operations.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Describe the existing air quality status covering the gaseous emissions and particulate matter among others.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corrective measures to be taken for prevention of air pollution should be described.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Particular consideration should be given to tailings storage facilities or similar where mine waste can be removed and transported by wind. </w:t>
      </w:r>
    </w:p>
    <w:p w:rsidR="00CE5995" w:rsidRDefault="00D37047"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Analysis should be done to establish the presence of Fibrous (including asbestiform) materials and the safety and management measures put in place to address the same. </w:t>
      </w:r>
    </w:p>
    <w:p w:rsidR="009A2432" w:rsidRDefault="009A2432" w:rsidP="00197AFF">
      <w:pPr>
        <w:pStyle w:val="ListParagraph"/>
        <w:numPr>
          <w:ilvl w:val="0"/>
          <w:numId w:val="18"/>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w:t>
      </w:r>
      <w:r w:rsidR="00A27C20">
        <w:rPr>
          <w:rFonts w:ascii="Rockwell" w:hAnsi="Rockwell" w:cs="Rockwell"/>
          <w:sz w:val="24"/>
          <w:szCs w:val="24"/>
        </w:rPr>
        <w:t xml:space="preserve"> such as SO</w:t>
      </w:r>
      <w:r w:rsidR="00A27C20" w:rsidRPr="00A27C20">
        <w:rPr>
          <w:rFonts w:ascii="Rockwell" w:hAnsi="Rockwell" w:cs="Rockwell"/>
          <w:sz w:val="24"/>
          <w:szCs w:val="24"/>
          <w:vertAlign w:val="subscript"/>
        </w:rPr>
        <w:t>x</w:t>
      </w:r>
      <w:r w:rsidR="00A27C20">
        <w:rPr>
          <w:rFonts w:ascii="Rockwell" w:hAnsi="Rockwell" w:cs="Rockwell"/>
          <w:sz w:val="24"/>
          <w:szCs w:val="24"/>
        </w:rPr>
        <w:t>, NO</w:t>
      </w:r>
      <w:r w:rsidR="00A27C20" w:rsidRPr="00A27C20">
        <w:rPr>
          <w:rFonts w:ascii="Rockwell" w:hAnsi="Rockwell" w:cs="Rockwell"/>
          <w:sz w:val="24"/>
          <w:szCs w:val="24"/>
          <w:vertAlign w:val="subscript"/>
        </w:rPr>
        <w:t>x</w:t>
      </w:r>
      <w:r w:rsidR="00A27C20">
        <w:rPr>
          <w:rFonts w:ascii="Rockwell" w:hAnsi="Rockwell" w:cs="Rockwell"/>
          <w:sz w:val="24"/>
          <w:szCs w:val="24"/>
        </w:rPr>
        <w:t>, heavy metals, radioactivity, PM</w:t>
      </w:r>
      <w:r w:rsidR="00A27C20" w:rsidRPr="00A27C20">
        <w:rPr>
          <w:rFonts w:ascii="Rockwell" w:hAnsi="Rockwell" w:cs="Rockwell"/>
          <w:sz w:val="24"/>
          <w:szCs w:val="24"/>
          <w:vertAlign w:val="subscript"/>
        </w:rPr>
        <w:t>10</w:t>
      </w:r>
      <w:r w:rsidR="00A27C20">
        <w:rPr>
          <w:rFonts w:ascii="Rockwell" w:hAnsi="Rockwell" w:cs="Rockwell"/>
          <w:sz w:val="24"/>
          <w:szCs w:val="24"/>
        </w:rPr>
        <w:t>, PM</w:t>
      </w:r>
      <w:r w:rsidR="00A27C20" w:rsidRPr="00A27C20">
        <w:rPr>
          <w:rFonts w:ascii="Rockwell" w:hAnsi="Rockwell" w:cs="Rockwell"/>
          <w:sz w:val="24"/>
          <w:szCs w:val="24"/>
          <w:vertAlign w:val="subscript"/>
        </w:rPr>
        <w:t>2.5</w:t>
      </w:r>
      <w:r w:rsidRPr="00A27C20">
        <w:rPr>
          <w:rFonts w:ascii="Rockwell" w:hAnsi="Rockwell" w:cs="Rockwell"/>
          <w:sz w:val="24"/>
          <w:szCs w:val="24"/>
          <w:vertAlign w:val="subscript"/>
        </w:rPr>
        <w:t xml:space="preserve"> </w:t>
      </w:r>
      <w:r>
        <w:rPr>
          <w:rFonts w:ascii="Rockwell" w:hAnsi="Rockwell" w:cs="Rockwell"/>
          <w:sz w:val="24"/>
          <w:szCs w:val="24"/>
        </w:rPr>
        <w:t>should be considered</w:t>
      </w:r>
      <w:r w:rsidR="00A27C20">
        <w:rPr>
          <w:rFonts w:ascii="Rockwell" w:hAnsi="Rockwell" w:cs="Rockwell"/>
          <w:sz w:val="24"/>
          <w:szCs w:val="24"/>
        </w:rPr>
        <w:t xml:space="preserve"> among others</w:t>
      </w:r>
      <w:r>
        <w:rPr>
          <w:rFonts w:ascii="Rockwell" w:hAnsi="Rockwell" w:cs="Rockwell"/>
          <w:sz w:val="24"/>
          <w:szCs w:val="24"/>
        </w:rPr>
        <w:t>.</w:t>
      </w:r>
    </w:p>
    <w:p w:rsidR="009A2432" w:rsidRPr="009A2432" w:rsidRDefault="009A2432" w:rsidP="009A2432">
      <w:pPr>
        <w:tabs>
          <w:tab w:val="left" w:pos="420"/>
        </w:tabs>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sz w:val="24"/>
          <w:szCs w:val="24"/>
        </w:rPr>
      </w:pPr>
      <w:bookmarkStart w:id="57" w:name="_Toc30550"/>
      <w:bookmarkStart w:id="58" w:name="_Toc4738"/>
      <w:bookmarkStart w:id="59" w:name="_Toc16324"/>
      <w:r>
        <w:rPr>
          <w:rFonts w:ascii="Rockwell" w:hAnsi="Rockwell" w:cs="Rockwell"/>
          <w:b/>
          <w:sz w:val="24"/>
          <w:szCs w:val="24"/>
        </w:rPr>
        <w:t>3.2.3 Waste Management:</w:t>
      </w:r>
      <w:bookmarkEnd w:id="57"/>
      <w:bookmarkEnd w:id="58"/>
      <w:bookmarkEnd w:id="59"/>
      <w:r>
        <w:rPr>
          <w:rFonts w:ascii="Rockwell" w:hAnsi="Rockwell" w:cs="Rockwell"/>
          <w:sz w:val="24"/>
          <w:szCs w:val="24"/>
        </w:rPr>
        <w:t xml:space="preserve">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Describe the type, quality and quantity of overburden, waste rock, tailings, mine water, mineral rejects available and their disposal practice.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no utilization of waste material is proposed, the manner in which the waste material will be stabilized should be described.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protective measures to be taken for prevention of siltation, erosion and dust generation from these waste materials should also be described. </w:t>
      </w:r>
    </w:p>
    <w:p w:rsidR="00CE5995" w:rsidRDefault="00D37047"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If toxic and hazardous elements are present in the waste material, the protective measures to be taken for prevention of their dispersal in the air environment, leaching in surface and ground water, in soils and sediments should be described.</w:t>
      </w:r>
    </w:p>
    <w:p w:rsidR="00BA6E0E" w:rsidRDefault="00BA6E0E" w:rsidP="00197AFF">
      <w:pPr>
        <w:pStyle w:val="ListParagraph"/>
        <w:numPr>
          <w:ilvl w:val="0"/>
          <w:numId w:val="19"/>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applicable parameters should be considered.</w:t>
      </w:r>
    </w:p>
    <w:p w:rsidR="00BA6E0E" w:rsidRDefault="00BA6E0E" w:rsidP="00BA6E0E">
      <w:pPr>
        <w:pStyle w:val="ListParagraph"/>
        <w:tabs>
          <w:tab w:val="left" w:pos="420"/>
        </w:tabs>
        <w:spacing w:line="360" w:lineRule="auto"/>
        <w:ind w:left="42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60" w:name="_Toc5998"/>
      <w:bookmarkStart w:id="61" w:name="_Toc26983"/>
      <w:bookmarkStart w:id="62" w:name="_Toc4716"/>
      <w:r>
        <w:rPr>
          <w:rFonts w:ascii="Rockwell" w:hAnsi="Rockwell" w:cs="Rockwell"/>
          <w:b/>
          <w:sz w:val="24"/>
          <w:szCs w:val="24"/>
        </w:rPr>
        <w:t>3.2.4 Soil Quality:</w:t>
      </w:r>
      <w:bookmarkEnd w:id="60"/>
      <w:bookmarkEnd w:id="61"/>
      <w:bookmarkEnd w:id="62"/>
      <w:r>
        <w:rPr>
          <w:rFonts w:ascii="Rockwell" w:hAnsi="Rockwell" w:cs="Rockwell"/>
          <w:b/>
          <w:sz w:val="24"/>
          <w:szCs w:val="24"/>
        </w:rPr>
        <w:t xml:space="preserve"> </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baseline soil quality status prior to the mining operations. </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The top soil, the overburden and the waste rock available at the site and their recovery, storage as well as their utilization should be described.</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In-situ and ex-situ treatment to remove the contaminants or reduce the associated hazards to acceptable level should be discussed.</w:t>
      </w:r>
    </w:p>
    <w:p w:rsidR="00CE5995" w:rsidRDefault="00D3704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 Radioactivity - Analysis should be done to establish the presence of Naturally Occurring Radioactive Materials (NORMs) and the safety and management measures put in place to address the same. </w:t>
      </w:r>
    </w:p>
    <w:p w:rsidR="001326A7" w:rsidRPr="001326A7" w:rsidRDefault="001326A7" w:rsidP="00197AFF">
      <w:pPr>
        <w:pStyle w:val="ListParagraph"/>
        <w:numPr>
          <w:ilvl w:val="0"/>
          <w:numId w:val="20"/>
        </w:numPr>
        <w:tabs>
          <w:tab w:val="left" w:pos="420"/>
        </w:tabs>
        <w:spacing w:line="360" w:lineRule="auto"/>
        <w:jc w:val="both"/>
        <w:rPr>
          <w:rFonts w:ascii="Rockwell" w:hAnsi="Rockwell" w:cs="Rockwell"/>
          <w:sz w:val="24"/>
          <w:szCs w:val="24"/>
        </w:rPr>
      </w:pPr>
      <w:r>
        <w:rPr>
          <w:rFonts w:ascii="Rockwell" w:hAnsi="Rockwell" w:cs="Rockwell"/>
          <w:sz w:val="24"/>
          <w:szCs w:val="24"/>
        </w:rPr>
        <w:t>Sampling and analysis of the other applicable parameters</w:t>
      </w:r>
      <w:r w:rsidR="005A5D27">
        <w:rPr>
          <w:rFonts w:ascii="Rockwell" w:hAnsi="Rockwell" w:cs="Rockwell"/>
          <w:sz w:val="24"/>
          <w:szCs w:val="24"/>
        </w:rPr>
        <w:t xml:space="preserve"> such as heavy metals, PH, total hardness, calcium hardness, magnesium hardness, chlorides, sulfates and total dissolved solids, grease, </w:t>
      </w:r>
      <w:r w:rsidR="007E4B50">
        <w:rPr>
          <w:rFonts w:ascii="Rockwell" w:hAnsi="Rockwell" w:cs="Rockwell"/>
          <w:sz w:val="24"/>
          <w:szCs w:val="24"/>
        </w:rPr>
        <w:t>TPH</w:t>
      </w:r>
      <w:r w:rsidR="005A5D27">
        <w:rPr>
          <w:rFonts w:ascii="Rockwell" w:hAnsi="Rockwell" w:cs="Rockwell"/>
          <w:sz w:val="24"/>
          <w:szCs w:val="24"/>
        </w:rPr>
        <w:t xml:space="preserve">, </w:t>
      </w:r>
      <w:r w:rsidR="007E4B50">
        <w:rPr>
          <w:rFonts w:ascii="Rockwell" w:hAnsi="Rockwell" w:cs="Rockwell"/>
          <w:sz w:val="24"/>
          <w:szCs w:val="24"/>
        </w:rPr>
        <w:t>BTEX</w:t>
      </w:r>
      <w:r w:rsidR="005A5D27">
        <w:rPr>
          <w:rFonts w:ascii="Rockwell" w:hAnsi="Rockwell" w:cs="Rockwell"/>
          <w:sz w:val="24"/>
          <w:szCs w:val="24"/>
        </w:rPr>
        <w:t>, should be considered among others.</w:t>
      </w:r>
      <w:r>
        <w:rPr>
          <w:rFonts w:ascii="Rockwell" w:hAnsi="Rockwell" w:cs="Rockwell"/>
          <w:sz w:val="24"/>
          <w:szCs w:val="24"/>
        </w:rPr>
        <w:t xml:space="preserve"> </w:t>
      </w:r>
    </w:p>
    <w:p w:rsidR="00CE5995" w:rsidRDefault="00CE5995">
      <w:pPr>
        <w:pStyle w:val="ListParagraph"/>
        <w:numPr>
          <w:ilvl w:val="255"/>
          <w:numId w:val="0"/>
        </w:numPr>
        <w:spacing w:line="360" w:lineRule="auto"/>
        <w:jc w:val="both"/>
        <w:rPr>
          <w:rFonts w:ascii="Rockwell" w:hAnsi="Rockwell" w:cs="Rockwell"/>
          <w:sz w:val="24"/>
          <w:szCs w:val="24"/>
        </w:rPr>
      </w:pPr>
    </w:p>
    <w:p w:rsidR="009C21B8" w:rsidRDefault="00D37047" w:rsidP="009C21B8">
      <w:pPr>
        <w:pStyle w:val="ListParagraph"/>
        <w:spacing w:line="360" w:lineRule="auto"/>
        <w:ind w:left="360"/>
        <w:jc w:val="both"/>
        <w:outlineLvl w:val="1"/>
        <w:rPr>
          <w:rFonts w:ascii="Rockwell" w:hAnsi="Rockwell" w:cs="Rockwell"/>
          <w:b/>
          <w:sz w:val="24"/>
          <w:szCs w:val="24"/>
        </w:rPr>
      </w:pPr>
      <w:bookmarkStart w:id="63" w:name="_Toc15578"/>
      <w:bookmarkStart w:id="64" w:name="_Toc11564"/>
      <w:bookmarkStart w:id="65" w:name="_Toc5017"/>
      <w:r>
        <w:rPr>
          <w:rFonts w:ascii="Rockwell" w:hAnsi="Rockwell" w:cs="Rockwell"/>
          <w:b/>
          <w:sz w:val="24"/>
          <w:szCs w:val="24"/>
        </w:rPr>
        <w:t xml:space="preserve">3.2.5 Biodiversity </w:t>
      </w:r>
      <w:bookmarkEnd w:id="63"/>
      <w:bookmarkEnd w:id="64"/>
      <w:bookmarkEnd w:id="65"/>
    </w:p>
    <w:p w:rsidR="007E4B50" w:rsidRPr="009B3B91" w:rsidRDefault="007E4B50" w:rsidP="007E4B50">
      <w:pPr>
        <w:spacing w:line="360" w:lineRule="auto"/>
        <w:jc w:val="both"/>
        <w:outlineLvl w:val="1"/>
        <w:rPr>
          <w:rFonts w:ascii="Rockwell" w:hAnsi="Rockwell" w:cs="Rockwell"/>
          <w:sz w:val="24"/>
          <w:szCs w:val="24"/>
        </w:rPr>
      </w:pPr>
      <w:r w:rsidRPr="009B3B91">
        <w:rPr>
          <w:rFonts w:ascii="Rockwell" w:hAnsi="Rockwell" w:cs="Rockwell"/>
          <w:sz w:val="24"/>
          <w:szCs w:val="24"/>
        </w:rPr>
        <w:t>Biodiversity is a key component of the ecosystem and must therefore be protected. It is advisable that biodiversity assessment is done during ESIA process and</w:t>
      </w:r>
      <w:r w:rsidR="009B3B91">
        <w:rPr>
          <w:rFonts w:ascii="Rockwell" w:hAnsi="Rockwell" w:cs="Rockwell"/>
          <w:sz w:val="24"/>
          <w:szCs w:val="24"/>
        </w:rPr>
        <w:t xml:space="preserve"> a clear framework for its protection and management to be in place during the decommissioning and rehabilitation planning.</w:t>
      </w:r>
      <w:r w:rsidR="00073596">
        <w:rPr>
          <w:rFonts w:ascii="Rockwell" w:hAnsi="Rockwell" w:cs="Rockwell"/>
          <w:sz w:val="24"/>
          <w:szCs w:val="24"/>
        </w:rPr>
        <w:t xml:space="preserve"> The following information should be provided in the Plan but not limited to: </w:t>
      </w:r>
      <w:r w:rsidRPr="009B3B91">
        <w:rPr>
          <w:rFonts w:ascii="Rockwell" w:hAnsi="Rockwell" w:cs="Rockwell"/>
          <w:sz w:val="24"/>
          <w:szCs w:val="24"/>
        </w:rPr>
        <w:t xml:space="preserve"> </w:t>
      </w:r>
    </w:p>
    <w:p w:rsidR="009C21B8" w:rsidRPr="007830BE" w:rsidRDefault="009C21B8" w:rsidP="00197AFF">
      <w:pPr>
        <w:pStyle w:val="ListParagraph"/>
        <w:widowControl/>
        <w:numPr>
          <w:ilvl w:val="0"/>
          <w:numId w:val="21"/>
        </w:numPr>
        <w:tabs>
          <w:tab w:val="left" w:pos="420"/>
        </w:tabs>
        <w:spacing w:after="200" w:line="276" w:lineRule="auto"/>
        <w:jc w:val="both"/>
        <w:rPr>
          <w:rFonts w:ascii="Rockwell" w:hAnsi="Rockwell" w:cs="Rockwell"/>
          <w:sz w:val="24"/>
          <w:szCs w:val="24"/>
        </w:rPr>
      </w:pPr>
      <w:r w:rsidRPr="007830BE">
        <w:rPr>
          <w:rFonts w:ascii="Rockwell" w:hAnsi="Rockwell" w:cs="Rockwell"/>
          <w:sz w:val="24"/>
          <w:szCs w:val="24"/>
        </w:rPr>
        <w:t>The biodiversity parameters that should be assessed are; flora &amp; fauna, fresh water &amp; marine, Critical habitats/Fragile ecosystems</w:t>
      </w:r>
      <w:r w:rsidR="007830BE">
        <w:rPr>
          <w:rFonts w:ascii="Rockwell" w:hAnsi="Rockwell" w:cs="Rockwell"/>
          <w:sz w:val="24"/>
          <w:szCs w:val="24"/>
        </w:rPr>
        <w:t xml:space="preserve"> as is applicable</w:t>
      </w:r>
      <w:r w:rsidR="00073596">
        <w:rPr>
          <w:rFonts w:ascii="Rockwell" w:hAnsi="Rockwell" w:cs="Rockwell"/>
          <w:sz w:val="24"/>
          <w:szCs w:val="24"/>
        </w:rPr>
        <w:t>;</w:t>
      </w:r>
    </w:p>
    <w:p w:rsidR="00CE5995" w:rsidRDefault="00D37047" w:rsidP="00197AFF">
      <w:pPr>
        <w:pStyle w:val="ListParagraph"/>
        <w:numPr>
          <w:ilvl w:val="0"/>
          <w:numId w:val="21"/>
        </w:numPr>
        <w:tabs>
          <w:tab w:val="left" w:pos="420"/>
        </w:tabs>
        <w:spacing w:line="360" w:lineRule="auto"/>
        <w:jc w:val="both"/>
        <w:rPr>
          <w:rFonts w:ascii="Rockwell" w:hAnsi="Rockwell" w:cs="Rockwell"/>
          <w:sz w:val="24"/>
          <w:szCs w:val="24"/>
        </w:rPr>
      </w:pPr>
      <w:r>
        <w:rPr>
          <w:rFonts w:ascii="Rockwell" w:hAnsi="Rockwell" w:cs="Rockwell"/>
          <w:sz w:val="24"/>
          <w:szCs w:val="24"/>
        </w:rPr>
        <w:t>Reference should be made to the biodiversity assessment studies including ecologically sensitive areas</w:t>
      </w:r>
      <w:r w:rsidR="00F01DC5">
        <w:rPr>
          <w:rFonts w:ascii="Rockwell" w:hAnsi="Rockwell" w:cs="Rockwell"/>
          <w:sz w:val="24"/>
          <w:szCs w:val="24"/>
        </w:rPr>
        <w:t>, threatened species which were</w:t>
      </w:r>
      <w:r>
        <w:rPr>
          <w:rFonts w:ascii="Rockwell" w:hAnsi="Rockwell" w:cs="Rockwell"/>
          <w:sz w:val="24"/>
          <w:szCs w:val="24"/>
        </w:rPr>
        <w:t xml:space="preserve"> done prior to the mining operations</w:t>
      </w:r>
      <w:r w:rsidR="00073596">
        <w:rPr>
          <w:rFonts w:ascii="Rockwell" w:hAnsi="Rockwell" w:cs="Rockwell"/>
          <w:sz w:val="24"/>
          <w:szCs w:val="24"/>
        </w:rPr>
        <w:t>;</w:t>
      </w:r>
      <w:r>
        <w:rPr>
          <w:rFonts w:ascii="Rockwell" w:hAnsi="Rockwell" w:cs="Rockwell"/>
          <w:sz w:val="24"/>
          <w:szCs w:val="24"/>
        </w:rPr>
        <w:t xml:space="preserve"> </w:t>
      </w:r>
    </w:p>
    <w:p w:rsidR="00073596" w:rsidRDefault="00807FAE" w:rsidP="007E483B">
      <w:pPr>
        <w:pStyle w:val="ListParagraph"/>
        <w:numPr>
          <w:ilvl w:val="0"/>
          <w:numId w:val="21"/>
        </w:numPr>
        <w:tabs>
          <w:tab w:val="left" w:pos="420"/>
        </w:tabs>
        <w:spacing w:line="360" w:lineRule="auto"/>
        <w:jc w:val="both"/>
        <w:rPr>
          <w:rFonts w:ascii="Rockwell" w:hAnsi="Rockwell" w:cs="Rockwell"/>
          <w:sz w:val="24"/>
          <w:szCs w:val="24"/>
        </w:rPr>
      </w:pPr>
      <w:r w:rsidRPr="00073596">
        <w:rPr>
          <w:rFonts w:ascii="Rockwell" w:hAnsi="Rockwell" w:cs="Rockwell"/>
          <w:b/>
          <w:sz w:val="24"/>
          <w:szCs w:val="24"/>
        </w:rPr>
        <w:t>Offset:</w:t>
      </w:r>
      <w:r w:rsidRPr="00073596">
        <w:rPr>
          <w:rFonts w:ascii="Rockwell" w:hAnsi="Rockwell" w:cs="Rockwell"/>
          <w:sz w:val="24"/>
          <w:szCs w:val="24"/>
        </w:rPr>
        <w:t xml:space="preserve"> </w:t>
      </w:r>
      <w:r w:rsidR="00D37047" w:rsidRPr="00073596">
        <w:rPr>
          <w:rFonts w:ascii="Rockwell" w:hAnsi="Rockwell" w:cs="Rockwell"/>
          <w:sz w:val="24"/>
          <w:szCs w:val="24"/>
        </w:rPr>
        <w:t>Indicate the biodiversity offset as a compensation to the loss of biodiversity</w:t>
      </w:r>
      <w:r w:rsidR="00073596" w:rsidRPr="00073596">
        <w:rPr>
          <w:rFonts w:ascii="Rockwell" w:hAnsi="Rockwell" w:cs="Rockwell"/>
          <w:sz w:val="24"/>
          <w:szCs w:val="24"/>
        </w:rPr>
        <w:t>;</w:t>
      </w:r>
    </w:p>
    <w:p w:rsidR="00807FAE" w:rsidRPr="00073596" w:rsidRDefault="00807FAE" w:rsidP="007E483B">
      <w:pPr>
        <w:pStyle w:val="ListParagraph"/>
        <w:numPr>
          <w:ilvl w:val="0"/>
          <w:numId w:val="21"/>
        </w:numPr>
        <w:tabs>
          <w:tab w:val="left" w:pos="420"/>
        </w:tabs>
        <w:spacing w:line="360" w:lineRule="auto"/>
        <w:jc w:val="both"/>
        <w:rPr>
          <w:rFonts w:ascii="Rockwell" w:hAnsi="Rockwell" w:cs="Rockwell"/>
          <w:sz w:val="24"/>
          <w:szCs w:val="24"/>
        </w:rPr>
      </w:pPr>
      <w:r w:rsidRPr="00073596">
        <w:rPr>
          <w:rFonts w:ascii="Rockwell" w:hAnsi="Rockwell" w:cs="Rockwell"/>
          <w:b/>
          <w:sz w:val="24"/>
          <w:szCs w:val="24"/>
        </w:rPr>
        <w:t>Opportunity cost:</w:t>
      </w:r>
      <w:r w:rsidRPr="00073596">
        <w:rPr>
          <w:rFonts w:ascii="Rockwell" w:hAnsi="Rockwell" w:cs="Rockwell"/>
          <w:sz w:val="24"/>
          <w:szCs w:val="24"/>
        </w:rPr>
        <w:t xml:space="preserve"> Discuss lost opportunity that might result from the implementation of the mining activit</w:t>
      </w:r>
      <w:r w:rsidR="007E4B50" w:rsidRPr="00073596">
        <w:rPr>
          <w:rFonts w:ascii="Rockwell" w:hAnsi="Rockwell" w:cs="Rockwell"/>
          <w:sz w:val="24"/>
          <w:szCs w:val="24"/>
        </w:rPr>
        <w:t>y with the desire to have a win-</w:t>
      </w:r>
      <w:r w:rsidRPr="00073596">
        <w:rPr>
          <w:rFonts w:ascii="Rockwell" w:hAnsi="Rockwell" w:cs="Rockwell"/>
          <w:sz w:val="24"/>
          <w:szCs w:val="24"/>
        </w:rPr>
        <w:t>win scenario between mining activities and conservation</w:t>
      </w:r>
      <w:r w:rsidR="00073596">
        <w:rPr>
          <w:rFonts w:ascii="Rockwell" w:hAnsi="Rockwell" w:cs="Rockwell"/>
          <w:sz w:val="24"/>
          <w:szCs w:val="24"/>
        </w:rPr>
        <w:t xml:space="preserve">; and </w:t>
      </w:r>
      <w:r w:rsidRPr="00073596">
        <w:rPr>
          <w:rFonts w:ascii="Rockwell" w:hAnsi="Rockwell" w:cs="Rockwell"/>
          <w:sz w:val="24"/>
          <w:szCs w:val="24"/>
        </w:rPr>
        <w:t xml:space="preserve"> </w:t>
      </w:r>
    </w:p>
    <w:p w:rsidR="00073596" w:rsidRDefault="00D37047" w:rsidP="00197AFF">
      <w:pPr>
        <w:pStyle w:val="ListParagraph"/>
        <w:numPr>
          <w:ilvl w:val="0"/>
          <w:numId w:val="21"/>
        </w:numPr>
        <w:tabs>
          <w:tab w:val="left" w:pos="420"/>
        </w:tabs>
        <w:spacing w:line="360" w:lineRule="auto"/>
        <w:jc w:val="both"/>
        <w:rPr>
          <w:rFonts w:ascii="Rockwell" w:hAnsi="Rockwell" w:cs="Rockwell"/>
          <w:sz w:val="24"/>
          <w:szCs w:val="24"/>
        </w:rPr>
      </w:pPr>
      <w:r>
        <w:rPr>
          <w:rFonts w:ascii="Rockwell" w:hAnsi="Rockwell" w:cs="Rockwell"/>
          <w:sz w:val="24"/>
          <w:szCs w:val="24"/>
        </w:rPr>
        <w:t>Indicate the status of the ecological recovery at the site</w:t>
      </w:r>
      <w:r w:rsidR="00073596">
        <w:rPr>
          <w:rFonts w:ascii="Rockwell" w:hAnsi="Rockwell" w:cs="Rockwell"/>
          <w:sz w:val="24"/>
          <w:szCs w:val="24"/>
        </w:rPr>
        <w:t>.</w:t>
      </w:r>
    </w:p>
    <w:p w:rsidR="00CE5995" w:rsidRDefault="00D37047" w:rsidP="00073596">
      <w:pPr>
        <w:pStyle w:val="ListParagraph"/>
        <w:tabs>
          <w:tab w:val="left" w:pos="420"/>
        </w:tabs>
        <w:spacing w:line="360" w:lineRule="auto"/>
        <w:ind w:left="360"/>
        <w:jc w:val="both"/>
        <w:rPr>
          <w:rFonts w:ascii="Rockwell" w:hAnsi="Rockwell" w:cs="Rockwell"/>
          <w:sz w:val="24"/>
          <w:szCs w:val="24"/>
        </w:rPr>
      </w:pPr>
      <w:r>
        <w:rPr>
          <w:rFonts w:ascii="Rockwell" w:hAnsi="Rockwell" w:cs="Rockwell"/>
          <w:sz w:val="24"/>
          <w:szCs w:val="24"/>
        </w:rPr>
        <w:t xml:space="preserve"> </w:t>
      </w:r>
    </w:p>
    <w:p w:rsidR="00CE5995" w:rsidRDefault="00B85BAF">
      <w:pPr>
        <w:pStyle w:val="ListParagraph"/>
        <w:numPr>
          <w:ilvl w:val="255"/>
          <w:numId w:val="0"/>
        </w:numPr>
        <w:spacing w:line="360" w:lineRule="auto"/>
        <w:ind w:left="360"/>
        <w:jc w:val="both"/>
        <w:outlineLvl w:val="1"/>
        <w:rPr>
          <w:rFonts w:ascii="Rockwell" w:hAnsi="Rockwell" w:cs="Rockwell"/>
          <w:sz w:val="24"/>
          <w:szCs w:val="24"/>
        </w:rPr>
      </w:pPr>
      <w:bookmarkStart w:id="66" w:name="_Toc29676"/>
      <w:bookmarkStart w:id="67" w:name="_Toc15927"/>
      <w:bookmarkStart w:id="68" w:name="_Toc2774"/>
      <w:r>
        <w:rPr>
          <w:rFonts w:ascii="Rockwell" w:hAnsi="Rockwell" w:cs="Rockwell"/>
          <w:b/>
          <w:sz w:val="24"/>
          <w:szCs w:val="24"/>
        </w:rPr>
        <w:t>3.2.6 Tailing Storage Facility (TSF) M</w:t>
      </w:r>
      <w:r w:rsidR="00D37047">
        <w:rPr>
          <w:rFonts w:ascii="Rockwell" w:hAnsi="Rockwell" w:cs="Rockwell"/>
          <w:b/>
          <w:sz w:val="24"/>
          <w:szCs w:val="24"/>
        </w:rPr>
        <w:t>anagement</w:t>
      </w:r>
      <w:bookmarkEnd w:id="66"/>
      <w:bookmarkEnd w:id="67"/>
      <w:bookmarkEnd w:id="68"/>
      <w:r w:rsidR="00D37047">
        <w:rPr>
          <w:rFonts w:ascii="Rockwell" w:hAnsi="Rockwell" w:cs="Rockwell"/>
          <w:sz w:val="24"/>
          <w:szCs w:val="24"/>
        </w:rPr>
        <w:t xml:space="preserve"> </w:t>
      </w:r>
    </w:p>
    <w:p w:rsidR="00CE5995" w:rsidRDefault="00D37047" w:rsidP="00197AFF">
      <w:pPr>
        <w:pStyle w:val="ListParagraph"/>
        <w:numPr>
          <w:ilvl w:val="0"/>
          <w:numId w:val="22"/>
        </w:numPr>
        <w:tabs>
          <w:tab w:val="left" w:pos="420"/>
        </w:tabs>
        <w:spacing w:line="360" w:lineRule="auto"/>
        <w:jc w:val="both"/>
        <w:rPr>
          <w:rFonts w:ascii="Rockwell" w:hAnsi="Rockwell" w:cs="Rockwell"/>
          <w:color w:val="FF0000"/>
          <w:sz w:val="24"/>
          <w:szCs w:val="24"/>
        </w:rPr>
      </w:pPr>
      <w:r>
        <w:rPr>
          <w:rFonts w:ascii="Rockwell" w:hAnsi="Rockwell" w:cs="Rockwell"/>
          <w:sz w:val="24"/>
          <w:szCs w:val="24"/>
        </w:rPr>
        <w:t xml:space="preserve">The steps taken for protection and stability of tailings dam, </w:t>
      </w:r>
      <w:r w:rsidR="00B85BAF" w:rsidRPr="00B85BAF">
        <w:rPr>
          <w:rFonts w:ascii="Rockwell" w:hAnsi="Rockwell" w:cs="Rockwell"/>
          <w:sz w:val="24"/>
          <w:szCs w:val="24"/>
        </w:rPr>
        <w:t xml:space="preserve">periodic desilting, </w:t>
      </w:r>
      <w:r>
        <w:rPr>
          <w:rFonts w:ascii="Rockwell" w:hAnsi="Rockwell" w:cs="Rockwell"/>
          <w:sz w:val="24"/>
          <w:szCs w:val="24"/>
        </w:rPr>
        <w:t>stabilization of tailing</w:t>
      </w:r>
      <w:r w:rsidR="00B85BAF">
        <w:rPr>
          <w:rFonts w:ascii="Rockwell" w:hAnsi="Rockwell" w:cs="Rockwell"/>
          <w:sz w:val="24"/>
          <w:szCs w:val="24"/>
        </w:rPr>
        <w:t>s material and its utilization</w:t>
      </w:r>
    </w:p>
    <w:p w:rsidR="00CE5995" w:rsidRDefault="00B85BAF"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Measures</w:t>
      </w:r>
      <w:r w:rsidR="00D37047">
        <w:rPr>
          <w:rFonts w:ascii="Rockwell" w:hAnsi="Rockwell" w:cs="Rockwell"/>
          <w:sz w:val="24"/>
          <w:szCs w:val="24"/>
        </w:rPr>
        <w:t xml:space="preserve"> to prevent water pollution from tailings arrangement for surplus water overflow along with detail design, structural stability studies, the embankment seepage loss into the receiving environment and ground water contaminant if any should be given.</w:t>
      </w:r>
    </w:p>
    <w:p w:rsidR="00CE5995" w:rsidRDefault="00D37047"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Post-care and maintenance plan for the TSF to be described</w:t>
      </w:r>
    </w:p>
    <w:p w:rsidR="00CE5995" w:rsidRDefault="00D37047" w:rsidP="00197AFF">
      <w:pPr>
        <w:pStyle w:val="ListParagraph"/>
        <w:numPr>
          <w:ilvl w:val="0"/>
          <w:numId w:val="22"/>
        </w:numPr>
        <w:tabs>
          <w:tab w:val="left" w:pos="420"/>
        </w:tabs>
        <w:spacing w:line="360" w:lineRule="auto"/>
        <w:jc w:val="both"/>
        <w:rPr>
          <w:rFonts w:ascii="Rockwell" w:hAnsi="Rockwell" w:cs="Rockwell"/>
          <w:sz w:val="24"/>
          <w:szCs w:val="24"/>
        </w:rPr>
      </w:pPr>
      <w:r>
        <w:rPr>
          <w:rFonts w:ascii="Rockwell" w:hAnsi="Rockwell" w:cs="Rockwell"/>
          <w:sz w:val="24"/>
          <w:szCs w:val="24"/>
        </w:rPr>
        <w:t>Provide details of the minerological studies done to characterize tailings and cover material and identify the presence and nature of potentially acid producing sulfides and any other liquids remaining in the TSF and their treatment prior to discharge or evaporation.</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69" w:name="_Toc28517"/>
      <w:bookmarkStart w:id="70" w:name="_Toc5363"/>
      <w:bookmarkStart w:id="71" w:name="_Toc16962"/>
      <w:r>
        <w:rPr>
          <w:rFonts w:ascii="Rockwell" w:hAnsi="Rockwell" w:cs="Rockwell"/>
          <w:b/>
          <w:sz w:val="24"/>
          <w:szCs w:val="24"/>
        </w:rPr>
        <w:t>3.2.7 Disused mine pits</w:t>
      </w:r>
      <w:bookmarkEnd w:id="69"/>
      <w:bookmarkEnd w:id="70"/>
      <w:bookmarkEnd w:id="71"/>
    </w:p>
    <w:p w:rsidR="00CE5995" w:rsidRDefault="00CE3F54">
      <w:pPr>
        <w:pStyle w:val="ListParagraph"/>
        <w:numPr>
          <w:ilvl w:val="255"/>
          <w:numId w:val="0"/>
        </w:numPr>
        <w:spacing w:line="360" w:lineRule="auto"/>
        <w:jc w:val="both"/>
        <w:rPr>
          <w:rFonts w:ascii="Rockwell" w:hAnsi="Rockwell" w:cs="Rockwell"/>
          <w:sz w:val="24"/>
          <w:szCs w:val="24"/>
        </w:rPr>
      </w:pPr>
      <w:r>
        <w:rPr>
          <w:rFonts w:ascii="Rockwell" w:hAnsi="Rockwell" w:cs="Rockwell"/>
          <w:sz w:val="24"/>
          <w:szCs w:val="24"/>
        </w:rPr>
        <w:t>Develop compatible after-</w:t>
      </w:r>
      <w:r w:rsidR="00D37047">
        <w:rPr>
          <w:rFonts w:ascii="Rockwell" w:hAnsi="Rockwell" w:cs="Rockwell"/>
          <w:sz w:val="24"/>
          <w:szCs w:val="24"/>
        </w:rPr>
        <w:t xml:space="preserve">use plans in consultation with the </w:t>
      </w:r>
      <w:r>
        <w:rPr>
          <w:rFonts w:ascii="Rockwell" w:hAnsi="Rockwell" w:cs="Rockwell"/>
          <w:sz w:val="24"/>
          <w:szCs w:val="24"/>
        </w:rPr>
        <w:t>PAP</w:t>
      </w:r>
      <w:r w:rsidR="00D37047">
        <w:rPr>
          <w:rFonts w:ascii="Rockwell" w:hAnsi="Rockwell" w:cs="Rockwell"/>
          <w:sz w:val="24"/>
          <w:szCs w:val="24"/>
        </w:rPr>
        <w:t>s and other stakeholders for the disused mine pits</w:t>
      </w:r>
      <w:r w:rsidR="00E86B44">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72" w:name="_Toc5853"/>
      <w:bookmarkStart w:id="73" w:name="_Toc22100"/>
      <w:bookmarkStart w:id="74" w:name="_Toc23623"/>
      <w:r>
        <w:rPr>
          <w:rFonts w:ascii="Rockwell" w:hAnsi="Rockwell" w:cs="Rockwell"/>
          <w:b/>
          <w:sz w:val="24"/>
          <w:szCs w:val="24"/>
        </w:rPr>
        <w:t>3.2.8 Infrastructure</w:t>
      </w:r>
      <w:bookmarkEnd w:id="72"/>
      <w:bookmarkEnd w:id="73"/>
      <w:bookmarkEnd w:id="74"/>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existing infrastructural facilities available such as roads, aerial rope-ways, conveyor belts, railways, power lines, buildings &amp; structures, water treatment plant, transport, water supply sources in the area </w:t>
      </w:r>
      <w:r w:rsidR="00CE3F54">
        <w:rPr>
          <w:rFonts w:ascii="Rockwell" w:hAnsi="Rockwell" w:cs="Rockwell"/>
          <w:sz w:val="24"/>
          <w:szCs w:val="24"/>
        </w:rPr>
        <w:t>among others</w:t>
      </w:r>
      <w:r>
        <w:rPr>
          <w:rFonts w:ascii="Rockwell" w:hAnsi="Rockwell" w:cs="Rockwell"/>
          <w:sz w:val="24"/>
          <w:szCs w:val="24"/>
        </w:rPr>
        <w:t xml:space="preserve"> and their future utilization should be evaluated on </w:t>
      </w:r>
      <w:r w:rsidR="00E86B44">
        <w:rPr>
          <w:rFonts w:ascii="Rockwell" w:hAnsi="Rockwell" w:cs="Rockwell"/>
          <w:sz w:val="24"/>
          <w:szCs w:val="24"/>
        </w:rPr>
        <w:t xml:space="preserve">a </w:t>
      </w:r>
      <w:r>
        <w:rPr>
          <w:rFonts w:ascii="Rockwell" w:hAnsi="Rockwell" w:cs="Rockwell"/>
          <w:sz w:val="24"/>
          <w:szCs w:val="24"/>
        </w:rPr>
        <w:t xml:space="preserve">case </w:t>
      </w:r>
      <w:r w:rsidR="00E86B44">
        <w:rPr>
          <w:rFonts w:ascii="Rockwell" w:hAnsi="Rockwell" w:cs="Rockwell"/>
          <w:sz w:val="24"/>
          <w:szCs w:val="24"/>
        </w:rPr>
        <w:t xml:space="preserve">by </w:t>
      </w:r>
      <w:r>
        <w:rPr>
          <w:rFonts w:ascii="Rockwell" w:hAnsi="Rockwell" w:cs="Rockwell"/>
          <w:sz w:val="24"/>
          <w:szCs w:val="24"/>
        </w:rPr>
        <w:t xml:space="preserve">case basis. </w:t>
      </w:r>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If retained, the measures to be taken for their physical stability and maintenance should be described. </w:t>
      </w:r>
    </w:p>
    <w:p w:rsidR="00CE5995" w:rsidRDefault="00D37047" w:rsidP="00197AFF">
      <w:pPr>
        <w:pStyle w:val="ListParagraph"/>
        <w:numPr>
          <w:ilvl w:val="0"/>
          <w:numId w:val="23"/>
        </w:numPr>
        <w:tabs>
          <w:tab w:val="left" w:pos="420"/>
        </w:tabs>
        <w:spacing w:line="360" w:lineRule="auto"/>
        <w:jc w:val="both"/>
        <w:rPr>
          <w:rFonts w:ascii="Rockwell" w:hAnsi="Rockwell" w:cs="Rockwell"/>
          <w:sz w:val="24"/>
          <w:szCs w:val="24"/>
        </w:rPr>
      </w:pPr>
      <w:r>
        <w:rPr>
          <w:rFonts w:ascii="Rockwell" w:hAnsi="Rockwell" w:cs="Rockwell"/>
          <w:sz w:val="24"/>
          <w:szCs w:val="24"/>
        </w:rPr>
        <w:t>If decommissioning proposed, dismantling and disposal of building structures, support facilities and other infrastructure like electric transmission line, water line, gas pipeline, water works, sewer line, telephone cables, underground tanks, transportation infrastructure like roads, rails, bridges, culverts</w:t>
      </w:r>
      <w:r w:rsidR="00CE3F54">
        <w:rPr>
          <w:rFonts w:ascii="Rockwell" w:hAnsi="Rockwell" w:cs="Rockwell"/>
          <w:sz w:val="24"/>
          <w:szCs w:val="24"/>
        </w:rPr>
        <w:t xml:space="preserve">, </w:t>
      </w:r>
      <w:r>
        <w:rPr>
          <w:rFonts w:ascii="Rockwell" w:hAnsi="Rockwell" w:cs="Rockwell"/>
          <w:sz w:val="24"/>
          <w:szCs w:val="24"/>
        </w:rPr>
        <w:t xml:space="preserve">electrical equipment’s and infrastructures like electric cables, transformers to be described in connection with restoring land for further use. </w:t>
      </w:r>
    </w:p>
    <w:p w:rsidR="00CE5995" w:rsidRDefault="00CE5995">
      <w:pPr>
        <w:pStyle w:val="ListParagraph"/>
        <w:numPr>
          <w:ilvl w:val="255"/>
          <w:numId w:val="0"/>
        </w:numPr>
        <w:spacing w:line="360" w:lineRule="auto"/>
        <w:ind w:left="36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75" w:name="_Toc7925"/>
      <w:bookmarkStart w:id="76" w:name="_Toc22503"/>
      <w:bookmarkStart w:id="77" w:name="_Toc17996"/>
      <w:r>
        <w:rPr>
          <w:rFonts w:ascii="Rockwell" w:hAnsi="Rockwell" w:cs="Rockwell"/>
          <w:b/>
          <w:sz w:val="24"/>
          <w:szCs w:val="24"/>
        </w:rPr>
        <w:t xml:space="preserve">3.2.9 Disposal of </w:t>
      </w:r>
      <w:r w:rsidR="00373504">
        <w:rPr>
          <w:rFonts w:ascii="Rockwell" w:hAnsi="Rockwell" w:cs="Rockwell"/>
          <w:b/>
          <w:sz w:val="24"/>
          <w:szCs w:val="24"/>
        </w:rPr>
        <w:t xml:space="preserve">Mining Machinery </w:t>
      </w:r>
      <w:r>
        <w:rPr>
          <w:rFonts w:ascii="Rockwell" w:hAnsi="Rockwell" w:cs="Rockwell"/>
          <w:b/>
          <w:sz w:val="24"/>
          <w:szCs w:val="24"/>
        </w:rPr>
        <w:t xml:space="preserve">and </w:t>
      </w:r>
      <w:r w:rsidR="00373504">
        <w:rPr>
          <w:rFonts w:ascii="Rockwell" w:hAnsi="Rockwell" w:cs="Rockwell"/>
          <w:b/>
          <w:sz w:val="24"/>
          <w:szCs w:val="24"/>
        </w:rPr>
        <w:t>E</w:t>
      </w:r>
      <w:r>
        <w:rPr>
          <w:rFonts w:ascii="Rockwell" w:hAnsi="Rockwell" w:cs="Rockwell"/>
          <w:b/>
          <w:sz w:val="24"/>
          <w:szCs w:val="24"/>
        </w:rPr>
        <w:t>quipme</w:t>
      </w:r>
      <w:r w:rsidR="00373504">
        <w:rPr>
          <w:rFonts w:ascii="Rockwell" w:hAnsi="Rockwell" w:cs="Rockwell"/>
          <w:b/>
          <w:sz w:val="24"/>
          <w:szCs w:val="24"/>
        </w:rPr>
        <w:t>nt</w:t>
      </w:r>
      <w:bookmarkEnd w:id="75"/>
      <w:bookmarkEnd w:id="76"/>
      <w:bookmarkEnd w:id="77"/>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decommissioning of mining machineries and their possible post mining utilization and disposal options, if any, to be described. </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closure plan must consider how rehabilitation works will be carried out if mining machinery is unavailable at the time of rehabilitation and closure. </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Closure costs should include machine rental costs and costs of manpower on a normal commercial contractor basis.</w:t>
      </w:r>
    </w:p>
    <w:p w:rsidR="00CE5995" w:rsidRDefault="00D37047" w:rsidP="00197AFF">
      <w:pPr>
        <w:pStyle w:val="ListParagraph"/>
        <w:numPr>
          <w:ilvl w:val="0"/>
          <w:numId w:val="24"/>
        </w:numPr>
        <w:tabs>
          <w:tab w:val="left" w:pos="420"/>
        </w:tabs>
        <w:spacing w:line="360" w:lineRule="auto"/>
        <w:jc w:val="both"/>
        <w:rPr>
          <w:rFonts w:ascii="Rockwell" w:hAnsi="Rockwell" w:cs="Rockwell"/>
          <w:sz w:val="24"/>
          <w:szCs w:val="24"/>
        </w:rPr>
      </w:pPr>
      <w:r>
        <w:rPr>
          <w:rFonts w:ascii="Rockwell" w:hAnsi="Rockwell" w:cs="Rockwell"/>
          <w:sz w:val="24"/>
          <w:szCs w:val="24"/>
        </w:rPr>
        <w:t>Dismantling, segregation, reuse, recovery, recycling and final disposal to be described.</w:t>
      </w:r>
    </w:p>
    <w:p w:rsidR="00197AFF" w:rsidRPr="00197AFF" w:rsidRDefault="00197AFF" w:rsidP="00197AFF">
      <w:pPr>
        <w:pStyle w:val="ListParagraph"/>
        <w:tabs>
          <w:tab w:val="left" w:pos="420"/>
        </w:tabs>
        <w:spacing w:line="360" w:lineRule="auto"/>
        <w:ind w:left="360"/>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78" w:name="_Toc26269"/>
      <w:bookmarkStart w:id="79" w:name="_Toc32439"/>
      <w:bookmarkStart w:id="80" w:name="_Toc13619"/>
      <w:r>
        <w:rPr>
          <w:rFonts w:ascii="Rockwell" w:hAnsi="Rockwell" w:cs="Rockwell"/>
          <w:b/>
          <w:sz w:val="24"/>
          <w:szCs w:val="24"/>
        </w:rPr>
        <w:t>3.2.10 Safety and Security</w:t>
      </w:r>
      <w:bookmarkEnd w:id="78"/>
      <w:bookmarkEnd w:id="79"/>
      <w:bookmarkEnd w:id="80"/>
    </w:p>
    <w:p w:rsidR="00CE5995" w:rsidRDefault="00D37047" w:rsidP="00197AFF">
      <w:pPr>
        <w:pStyle w:val="ListParagraph"/>
        <w:numPr>
          <w:ilvl w:val="0"/>
          <w:numId w:val="25"/>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Explain the safety measures implemented to prevent access to surface openings, excavations and arrangements proposed during the mine decommissioning before the site is </w:t>
      </w:r>
      <w:r w:rsidR="00CE3F54">
        <w:rPr>
          <w:rFonts w:ascii="Rockwell" w:hAnsi="Rockwell" w:cs="Rockwell"/>
          <w:sz w:val="24"/>
          <w:szCs w:val="24"/>
        </w:rPr>
        <w:t>subjected to a compatible after-</w:t>
      </w:r>
      <w:r>
        <w:rPr>
          <w:rFonts w:ascii="Rockwell" w:hAnsi="Rockwell" w:cs="Rockwell"/>
          <w:sz w:val="24"/>
          <w:szCs w:val="24"/>
        </w:rPr>
        <w:t>use plan.</w:t>
      </w:r>
    </w:p>
    <w:p w:rsidR="00CE5995" w:rsidRDefault="00D37047" w:rsidP="00197AFF">
      <w:pPr>
        <w:pStyle w:val="ListParagraph"/>
        <w:numPr>
          <w:ilvl w:val="0"/>
          <w:numId w:val="25"/>
        </w:numPr>
        <w:tabs>
          <w:tab w:val="left" w:pos="420"/>
        </w:tabs>
        <w:spacing w:line="360" w:lineRule="auto"/>
        <w:jc w:val="both"/>
        <w:rPr>
          <w:rFonts w:ascii="Rockwell" w:hAnsi="Rockwell" w:cs="Rockwell"/>
          <w:sz w:val="24"/>
          <w:szCs w:val="24"/>
        </w:rPr>
      </w:pPr>
      <w:r>
        <w:rPr>
          <w:rFonts w:ascii="Rockwell" w:hAnsi="Rockwell" w:cs="Rockwell"/>
          <w:sz w:val="24"/>
          <w:szCs w:val="24"/>
        </w:rPr>
        <w:t>Occupational safety and health requirements should be observed</w:t>
      </w:r>
      <w:r w:rsidR="001A0608">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81" w:name="_Toc7559"/>
      <w:bookmarkStart w:id="82" w:name="_Toc20892"/>
      <w:bookmarkStart w:id="83" w:name="_Toc8717"/>
      <w:r>
        <w:rPr>
          <w:rFonts w:ascii="Rockwell" w:hAnsi="Rockwell" w:cs="Rockwell"/>
          <w:b/>
          <w:sz w:val="24"/>
          <w:szCs w:val="24"/>
        </w:rPr>
        <w:t>3.2.11 Disaster Management and Risk Assessment</w:t>
      </w:r>
      <w:bookmarkEnd w:id="81"/>
      <w:bookmarkEnd w:id="82"/>
      <w:bookmarkEnd w:id="83"/>
    </w:p>
    <w:p w:rsidR="00CE5995" w:rsidRDefault="00D37047" w:rsidP="00197AFF">
      <w:pPr>
        <w:pStyle w:val="ListParagraph"/>
        <w:numPr>
          <w:ilvl w:val="0"/>
          <w:numId w:val="26"/>
        </w:numPr>
        <w:tabs>
          <w:tab w:val="left" w:pos="420"/>
        </w:tabs>
        <w:spacing w:line="360" w:lineRule="auto"/>
        <w:jc w:val="both"/>
        <w:rPr>
          <w:rFonts w:ascii="Rockwell" w:hAnsi="Rockwell" w:cs="Rockwell"/>
          <w:sz w:val="24"/>
          <w:szCs w:val="24"/>
        </w:rPr>
      </w:pPr>
      <w:r>
        <w:rPr>
          <w:rFonts w:ascii="Rockwell" w:hAnsi="Rockwell" w:cs="Rockwell"/>
          <w:sz w:val="24"/>
          <w:szCs w:val="24"/>
        </w:rPr>
        <w:t>This should deal with action plan for high risk accidents like landslides, su</w:t>
      </w:r>
      <w:r w:rsidR="001A0608">
        <w:rPr>
          <w:rFonts w:ascii="Rockwell" w:hAnsi="Rockwell" w:cs="Rockwell"/>
          <w:sz w:val="24"/>
          <w:szCs w:val="24"/>
        </w:rPr>
        <w:t>bsidence flood, inundation</w:t>
      </w:r>
      <w:r>
        <w:rPr>
          <w:rFonts w:ascii="Rockwell" w:hAnsi="Rockwell" w:cs="Rockwell"/>
          <w:sz w:val="24"/>
          <w:szCs w:val="24"/>
        </w:rPr>
        <w:t xml:space="preserve"> in underground mines, fire, seismic activities, tailing dam failure and emergency plan proposed for quick evacuation</w:t>
      </w:r>
      <w:r w:rsidR="001A0608">
        <w:rPr>
          <w:rFonts w:ascii="Rockwell" w:hAnsi="Rockwell" w:cs="Rockwell"/>
          <w:sz w:val="24"/>
          <w:szCs w:val="24"/>
        </w:rPr>
        <w:t xml:space="preserve"> and</w:t>
      </w:r>
      <w:r>
        <w:rPr>
          <w:rFonts w:ascii="Rockwell" w:hAnsi="Rockwell" w:cs="Rockwell"/>
          <w:sz w:val="24"/>
          <w:szCs w:val="24"/>
        </w:rPr>
        <w:t xml:space="preserve"> ameliorative measures to be taken. </w:t>
      </w:r>
    </w:p>
    <w:p w:rsidR="00CE5995" w:rsidRDefault="00D37047" w:rsidP="00197AFF">
      <w:pPr>
        <w:pStyle w:val="ListParagraph"/>
        <w:numPr>
          <w:ilvl w:val="0"/>
          <w:numId w:val="26"/>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The capability of </w:t>
      </w:r>
      <w:r w:rsidR="001A0608">
        <w:rPr>
          <w:rFonts w:ascii="Rockwell" w:hAnsi="Rockwell" w:cs="Rockwell"/>
          <w:sz w:val="24"/>
          <w:szCs w:val="24"/>
        </w:rPr>
        <w:t>the mine owner and operator</w:t>
      </w:r>
      <w:r>
        <w:rPr>
          <w:rFonts w:ascii="Rockwell" w:hAnsi="Rockwell" w:cs="Rockwell"/>
          <w:sz w:val="24"/>
          <w:szCs w:val="24"/>
        </w:rPr>
        <w:t xml:space="preserve"> to meet such eventualities and the assistance to be required from the </w:t>
      </w:r>
      <w:r w:rsidR="00CE3F54">
        <w:rPr>
          <w:rFonts w:ascii="Rockwell" w:hAnsi="Rockwell" w:cs="Rockwell"/>
          <w:sz w:val="24"/>
          <w:szCs w:val="24"/>
        </w:rPr>
        <w:t>National and County Governments</w:t>
      </w:r>
      <w:r>
        <w:rPr>
          <w:rFonts w:ascii="Rockwell" w:hAnsi="Rockwell" w:cs="Rockwell"/>
          <w:sz w:val="24"/>
          <w:szCs w:val="24"/>
        </w:rPr>
        <w:t xml:space="preserve"> should also be described.</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84" w:name="_Toc1558"/>
      <w:bookmarkStart w:id="85" w:name="_Toc25892"/>
      <w:bookmarkStart w:id="86" w:name="_Toc11648"/>
      <w:r>
        <w:rPr>
          <w:rFonts w:ascii="Rockwell" w:hAnsi="Rockwell" w:cs="Rockwell"/>
          <w:b/>
          <w:sz w:val="24"/>
          <w:szCs w:val="24"/>
        </w:rPr>
        <w:t>3.2.12 Care and maintenance during temporary discontinuance</w:t>
      </w:r>
      <w:bookmarkEnd w:id="84"/>
      <w:bookmarkEnd w:id="85"/>
      <w:bookmarkEnd w:id="86"/>
    </w:p>
    <w:p w:rsidR="00CE5995" w:rsidRDefault="00D37047" w:rsidP="00197AFF">
      <w:pPr>
        <w:pStyle w:val="ListParagraph"/>
        <w:numPr>
          <w:ilvl w:val="0"/>
          <w:numId w:val="2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Provide an emergency plan for the situation of temporary discontinuance or incomplete programme due to court order or statutory requirements or any other unforeseen circumstances. This should include a plan indicating measures of care, maintenance and monitoring of status of unplanned discontinued mining operations expected to re-open in near future. </w:t>
      </w:r>
    </w:p>
    <w:p w:rsidR="00CE5995" w:rsidRDefault="00D37047" w:rsidP="00197AFF">
      <w:pPr>
        <w:pStyle w:val="ListParagraph"/>
        <w:numPr>
          <w:ilvl w:val="0"/>
          <w:numId w:val="27"/>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This should detail </w:t>
      </w:r>
      <w:r w:rsidR="00B57C11">
        <w:rPr>
          <w:rFonts w:ascii="Rockwell" w:hAnsi="Rockwell" w:cs="Rockwell"/>
          <w:sz w:val="24"/>
          <w:szCs w:val="24"/>
        </w:rPr>
        <w:t xml:space="preserve">periodic and objective </w:t>
      </w:r>
      <w:r>
        <w:rPr>
          <w:rFonts w:ascii="Rockwell" w:hAnsi="Rockwell" w:cs="Rockwell"/>
          <w:sz w:val="24"/>
          <w:szCs w:val="24"/>
        </w:rPr>
        <w:t>monitoring and maintenance</w:t>
      </w:r>
      <w:r w:rsidR="00B57C11">
        <w:rPr>
          <w:rFonts w:ascii="Rockwell" w:hAnsi="Rockwell" w:cs="Rockwell"/>
          <w:sz w:val="24"/>
          <w:szCs w:val="24"/>
        </w:rPr>
        <w:t xml:space="preserve"> programme</w:t>
      </w:r>
      <w:r>
        <w:rPr>
          <w:rFonts w:ascii="Rockwell" w:hAnsi="Rockwell" w:cs="Rockwell"/>
          <w:sz w:val="24"/>
          <w:szCs w:val="24"/>
        </w:rPr>
        <w:t>.</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7608E8">
      <w:pPr>
        <w:pStyle w:val="ListParagraph"/>
        <w:numPr>
          <w:ilvl w:val="255"/>
          <w:numId w:val="0"/>
        </w:numPr>
        <w:spacing w:line="360" w:lineRule="auto"/>
        <w:ind w:left="360"/>
        <w:jc w:val="both"/>
        <w:outlineLvl w:val="1"/>
        <w:rPr>
          <w:rFonts w:ascii="Rockwell" w:hAnsi="Rockwell" w:cs="Rockwell"/>
          <w:b/>
          <w:bCs/>
          <w:sz w:val="24"/>
          <w:szCs w:val="24"/>
        </w:rPr>
      </w:pPr>
      <w:bookmarkStart w:id="87" w:name="_Toc16306"/>
      <w:bookmarkStart w:id="88" w:name="_Toc8020"/>
      <w:bookmarkStart w:id="89" w:name="_Toc22806"/>
      <w:r>
        <w:rPr>
          <w:rFonts w:ascii="Rockwell" w:hAnsi="Rockwell" w:cs="Rockwell"/>
          <w:b/>
          <w:bCs/>
          <w:sz w:val="24"/>
          <w:szCs w:val="24"/>
        </w:rPr>
        <w:t>3.2.13 Visual A</w:t>
      </w:r>
      <w:r w:rsidR="00D37047">
        <w:rPr>
          <w:rFonts w:ascii="Rockwell" w:hAnsi="Rockwell" w:cs="Rockwell"/>
          <w:b/>
          <w:bCs/>
          <w:sz w:val="24"/>
          <w:szCs w:val="24"/>
        </w:rPr>
        <w:t>menity</w:t>
      </w:r>
      <w:bookmarkEnd w:id="87"/>
      <w:bookmarkEnd w:id="88"/>
      <w:bookmarkEnd w:id="89"/>
    </w:p>
    <w:p w:rsidR="00CE5995" w:rsidRDefault="00D37047"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Reference should be made to the aesthetic baseline of the site prior to the mining operations. </w:t>
      </w:r>
    </w:p>
    <w:p w:rsidR="00CE5995" w:rsidRDefault="00D37047"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The state of aesthetic recovery in comparison with the surrounding area</w:t>
      </w:r>
      <w:r w:rsidR="00391E3A">
        <w:rPr>
          <w:rFonts w:ascii="Rockwell" w:hAnsi="Rockwell" w:cs="Rockwell"/>
          <w:sz w:val="24"/>
          <w:szCs w:val="24"/>
        </w:rPr>
        <w:t>.</w:t>
      </w:r>
    </w:p>
    <w:p w:rsidR="00CE5995" w:rsidRDefault="00FE7C96" w:rsidP="00197AFF">
      <w:pPr>
        <w:pStyle w:val="ListParagraph"/>
        <w:numPr>
          <w:ilvl w:val="0"/>
          <w:numId w:val="28"/>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 Develop compatible after-</w:t>
      </w:r>
      <w:r w:rsidR="00D37047">
        <w:rPr>
          <w:rFonts w:ascii="Rockwell" w:hAnsi="Rockwell" w:cs="Rockwell"/>
          <w:sz w:val="24"/>
          <w:szCs w:val="24"/>
        </w:rPr>
        <w:t>use plans in consultation with the PAPs and other stakeholders</w:t>
      </w:r>
      <w:r w:rsidR="00391E3A">
        <w:rPr>
          <w:rFonts w:ascii="Rockwell" w:hAnsi="Rockwell" w:cs="Rockwell"/>
          <w:sz w:val="24"/>
          <w:szCs w:val="24"/>
        </w:rPr>
        <w:t>.</w:t>
      </w:r>
      <w:r w:rsidR="00D37047">
        <w:rPr>
          <w:rFonts w:ascii="Rockwell" w:hAnsi="Rockwell" w:cs="Rockwell"/>
          <w:sz w:val="24"/>
          <w:szCs w:val="24"/>
        </w:rPr>
        <w:t xml:space="preserve"> </w:t>
      </w:r>
    </w:p>
    <w:p w:rsidR="00CE5995" w:rsidRDefault="00CE5995">
      <w:pPr>
        <w:pStyle w:val="ListParagraph"/>
        <w:numPr>
          <w:ilvl w:val="255"/>
          <w:numId w:val="0"/>
        </w:numPr>
        <w:spacing w:line="360" w:lineRule="auto"/>
        <w:jc w:val="both"/>
        <w:rPr>
          <w:rFonts w:ascii="Rockwell" w:hAnsi="Rockwell" w:cs="Rockwell"/>
          <w:sz w:val="24"/>
          <w:szCs w:val="24"/>
        </w:rPr>
      </w:pPr>
    </w:p>
    <w:p w:rsidR="00CE5995" w:rsidRDefault="00391E3A">
      <w:pPr>
        <w:pStyle w:val="ListParagraph"/>
        <w:numPr>
          <w:ilvl w:val="255"/>
          <w:numId w:val="0"/>
        </w:numPr>
        <w:spacing w:line="360" w:lineRule="auto"/>
        <w:ind w:left="360"/>
        <w:jc w:val="both"/>
        <w:outlineLvl w:val="1"/>
        <w:rPr>
          <w:rFonts w:ascii="Rockwell" w:hAnsi="Rockwell" w:cs="Rockwell"/>
          <w:b/>
          <w:bCs/>
          <w:sz w:val="24"/>
          <w:szCs w:val="24"/>
        </w:rPr>
      </w:pPr>
      <w:bookmarkStart w:id="90" w:name="_Toc10101"/>
      <w:bookmarkStart w:id="91" w:name="_Toc1561"/>
      <w:bookmarkStart w:id="92" w:name="_Toc24759"/>
      <w:r>
        <w:rPr>
          <w:rFonts w:ascii="Rockwell" w:hAnsi="Rockwell" w:cs="Rockwell"/>
          <w:b/>
          <w:bCs/>
          <w:sz w:val="24"/>
          <w:szCs w:val="24"/>
        </w:rPr>
        <w:t>3.2.14 Heritage and Cultural A</w:t>
      </w:r>
      <w:r w:rsidR="00D37047">
        <w:rPr>
          <w:rFonts w:ascii="Rockwell" w:hAnsi="Rockwell" w:cs="Rockwell"/>
          <w:b/>
          <w:bCs/>
          <w:sz w:val="24"/>
          <w:szCs w:val="24"/>
        </w:rPr>
        <w:t>spects</w:t>
      </w:r>
      <w:bookmarkEnd w:id="90"/>
      <w:bookmarkEnd w:id="91"/>
      <w:bookmarkEnd w:id="92"/>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Protection o</w:t>
      </w:r>
      <w:r w:rsidR="001A6076">
        <w:rPr>
          <w:rFonts w:ascii="Rockwell" w:hAnsi="Rockwell" w:cs="Rockwell"/>
          <w:sz w:val="24"/>
          <w:szCs w:val="24"/>
        </w:rPr>
        <w:t xml:space="preserve">f heritage and cultural site - </w:t>
      </w:r>
      <w:r>
        <w:rPr>
          <w:rFonts w:ascii="Rockwell" w:hAnsi="Rockwell" w:cs="Rockwell"/>
          <w:sz w:val="24"/>
          <w:szCs w:val="24"/>
        </w:rPr>
        <w:t>mineral extracti</w:t>
      </w:r>
      <w:r w:rsidR="00FE7C96">
        <w:rPr>
          <w:rFonts w:ascii="Rockwell" w:hAnsi="Rockwell" w:cs="Rockwell"/>
          <w:sz w:val="24"/>
          <w:szCs w:val="24"/>
        </w:rPr>
        <w:t xml:space="preserve">ons should not be undertaken </w:t>
      </w:r>
      <w:r>
        <w:rPr>
          <w:rFonts w:ascii="Rockwell" w:hAnsi="Rockwell" w:cs="Rockwell"/>
          <w:sz w:val="24"/>
          <w:szCs w:val="24"/>
        </w:rPr>
        <w:t>within the heritage and cultural sites.</w:t>
      </w:r>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Provide information on existing </w:t>
      </w:r>
      <w:r w:rsidR="00FE7C96">
        <w:rPr>
          <w:rFonts w:ascii="Rockwell" w:hAnsi="Rockwell" w:cs="Rockwell"/>
          <w:sz w:val="24"/>
          <w:szCs w:val="24"/>
        </w:rPr>
        <w:t xml:space="preserve">World Heritage and Cultural </w:t>
      </w:r>
      <w:r>
        <w:rPr>
          <w:rFonts w:ascii="Rockwell" w:hAnsi="Rockwell" w:cs="Rockwell"/>
          <w:sz w:val="24"/>
          <w:szCs w:val="24"/>
        </w:rPr>
        <w:t xml:space="preserve">sites around the mine sites </w:t>
      </w:r>
    </w:p>
    <w:p w:rsidR="00CE5995" w:rsidRDefault="00FE7C96"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Submit an undertaking on non-</w:t>
      </w:r>
      <w:r w:rsidR="00D37047">
        <w:rPr>
          <w:rFonts w:ascii="Rockwell" w:hAnsi="Rockwell" w:cs="Rockwell"/>
          <w:sz w:val="24"/>
          <w:szCs w:val="24"/>
        </w:rPr>
        <w:t xml:space="preserve">interference with the listed heritage and cultural site around the mine site </w:t>
      </w:r>
    </w:p>
    <w:p w:rsidR="00CE5995" w:rsidRDefault="00D37047" w:rsidP="00197AFF">
      <w:pPr>
        <w:pStyle w:val="ListParagraph"/>
        <w:numPr>
          <w:ilvl w:val="0"/>
          <w:numId w:val="29"/>
        </w:numPr>
        <w:tabs>
          <w:tab w:val="left" w:pos="420"/>
        </w:tabs>
        <w:spacing w:line="360" w:lineRule="auto"/>
        <w:jc w:val="both"/>
        <w:rPr>
          <w:rFonts w:ascii="Rockwell" w:hAnsi="Rockwell" w:cs="Rockwell"/>
          <w:sz w:val="24"/>
          <w:szCs w:val="24"/>
        </w:rPr>
      </w:pPr>
      <w:r>
        <w:rPr>
          <w:rFonts w:ascii="Rockwell" w:hAnsi="Rockwell" w:cs="Rockwell"/>
          <w:sz w:val="24"/>
          <w:szCs w:val="24"/>
        </w:rPr>
        <w:t>Provide information on the restricted no-go cultural sites and measures taken in liaison with the N</w:t>
      </w:r>
      <w:r w:rsidR="00FE7C96">
        <w:rPr>
          <w:rFonts w:ascii="Rockwell" w:hAnsi="Rockwell" w:cs="Rockwell"/>
          <w:sz w:val="24"/>
          <w:szCs w:val="24"/>
        </w:rPr>
        <w:t xml:space="preserve">ational </w:t>
      </w:r>
      <w:r>
        <w:rPr>
          <w:rFonts w:ascii="Rockwell" w:hAnsi="Rockwell" w:cs="Rockwell"/>
          <w:sz w:val="24"/>
          <w:szCs w:val="24"/>
        </w:rPr>
        <w:t>M</w:t>
      </w:r>
      <w:r w:rsidR="00FE7C96">
        <w:rPr>
          <w:rFonts w:ascii="Rockwell" w:hAnsi="Rockwell" w:cs="Rockwell"/>
          <w:sz w:val="24"/>
          <w:szCs w:val="24"/>
        </w:rPr>
        <w:t xml:space="preserve">useums of </w:t>
      </w:r>
      <w:r>
        <w:rPr>
          <w:rFonts w:ascii="Rockwell" w:hAnsi="Rockwell" w:cs="Rockwell"/>
          <w:sz w:val="24"/>
          <w:szCs w:val="24"/>
        </w:rPr>
        <w:t>K</w:t>
      </w:r>
      <w:r w:rsidR="00FE7C96">
        <w:rPr>
          <w:rFonts w:ascii="Rockwell" w:hAnsi="Rockwell" w:cs="Rockwell"/>
          <w:sz w:val="24"/>
          <w:szCs w:val="24"/>
        </w:rPr>
        <w:t>enya (NMK)</w:t>
      </w:r>
      <w:r>
        <w:rPr>
          <w:rFonts w:ascii="Rockwell" w:hAnsi="Rockwell" w:cs="Rockwell"/>
          <w:sz w:val="24"/>
          <w:szCs w:val="24"/>
        </w:rPr>
        <w:t xml:space="preserve"> to protect these sites.</w:t>
      </w:r>
    </w:p>
    <w:p w:rsidR="00CE5995" w:rsidRDefault="00CE5995">
      <w:pPr>
        <w:pStyle w:val="ListParagraph"/>
        <w:spacing w:line="360" w:lineRule="auto"/>
        <w:jc w:val="both"/>
        <w:rPr>
          <w:rFonts w:ascii="Rockwell" w:hAnsi="Rockwell" w:cs="Rockwell"/>
          <w:sz w:val="24"/>
          <w:szCs w:val="24"/>
        </w:rPr>
      </w:pPr>
    </w:p>
    <w:p w:rsidR="00CE5995" w:rsidRDefault="00D37047">
      <w:pPr>
        <w:pStyle w:val="ListParagraph"/>
        <w:numPr>
          <w:ilvl w:val="255"/>
          <w:numId w:val="0"/>
        </w:numPr>
        <w:spacing w:line="360" w:lineRule="auto"/>
        <w:ind w:left="360"/>
        <w:jc w:val="both"/>
        <w:outlineLvl w:val="1"/>
        <w:rPr>
          <w:rFonts w:ascii="Rockwell" w:hAnsi="Rockwell" w:cs="Rockwell"/>
          <w:b/>
          <w:sz w:val="24"/>
          <w:szCs w:val="24"/>
        </w:rPr>
      </w:pPr>
      <w:bookmarkStart w:id="93" w:name="_Toc10011"/>
      <w:bookmarkStart w:id="94" w:name="_Toc30397"/>
      <w:bookmarkStart w:id="95" w:name="_Toc3613"/>
      <w:r>
        <w:rPr>
          <w:rFonts w:ascii="Rockwell" w:hAnsi="Rockwell" w:cs="Rockwell"/>
          <w:b/>
          <w:sz w:val="24"/>
          <w:szCs w:val="24"/>
        </w:rPr>
        <w:t>3.2.15 Post-Mining Land Use and Closure Objectives</w:t>
      </w:r>
      <w:bookmarkEnd w:id="93"/>
      <w:bookmarkEnd w:id="94"/>
      <w:bookmarkEnd w:id="95"/>
      <w:r>
        <w:rPr>
          <w:rFonts w:ascii="Rockwell" w:hAnsi="Rockwell" w:cs="Rockwell"/>
          <w:b/>
          <w:sz w:val="24"/>
          <w:szCs w:val="24"/>
        </w:rPr>
        <w:tab/>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mine site decommissioning plan should identify all potential (or pre-existing) environmental legacies (including contaminated sites) which may restrict the post-mining land use. The following land use hierarchy provides a guide to determining post-mining land use(s): </w:t>
      </w:r>
    </w:p>
    <w:p w:rsidR="00DA0CE6" w:rsidRPr="00DA0CE6" w:rsidRDefault="00D37047" w:rsidP="00DA0CE6">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Reinstate “natural” ecosystems to be as similar as possible to the original ecosystem. </w:t>
      </w:r>
      <w:r w:rsidR="00DA0CE6">
        <w:rPr>
          <w:rFonts w:ascii="Rockwell" w:hAnsi="Rockwell" w:cs="Rockwell"/>
          <w:sz w:val="24"/>
          <w:szCs w:val="24"/>
        </w:rPr>
        <w:t>Biodiversity offsets can also be considered as long as no harm is posed to the environment and the public.</w:t>
      </w:r>
    </w:p>
    <w:p w:rsidR="00CE5995" w:rsidRDefault="00D37047">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Develop an alternative land use with higher beneficial uses than the pre-mining land use. </w:t>
      </w:r>
    </w:p>
    <w:p w:rsidR="00CE5995" w:rsidRDefault="00D37047">
      <w:pPr>
        <w:numPr>
          <w:ilvl w:val="0"/>
          <w:numId w:val="8"/>
        </w:numPr>
        <w:spacing w:line="360" w:lineRule="auto"/>
        <w:ind w:left="845"/>
        <w:jc w:val="both"/>
        <w:rPr>
          <w:rFonts w:ascii="Rockwell" w:hAnsi="Rockwell" w:cs="Rockwell"/>
          <w:sz w:val="24"/>
          <w:szCs w:val="24"/>
        </w:rPr>
      </w:pPr>
      <w:r>
        <w:rPr>
          <w:rFonts w:ascii="Rockwell" w:hAnsi="Rockwell" w:cs="Rockwell"/>
          <w:sz w:val="24"/>
          <w:szCs w:val="24"/>
        </w:rPr>
        <w:t xml:space="preserve">Reinstate the pre-mining land use. </w:t>
      </w:r>
    </w:p>
    <w:p w:rsidR="00DA0CE6" w:rsidRDefault="00DA0CE6" w:rsidP="00DA0CE6">
      <w:pPr>
        <w:tabs>
          <w:tab w:val="left" w:pos="425"/>
        </w:tabs>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In the early stages of a mining project, it may be acceptable for provisional or proposed post</w:t>
      </w:r>
      <w:r w:rsidR="00FE7C96">
        <w:rPr>
          <w:rFonts w:ascii="Rockwell" w:hAnsi="Rockwell" w:cs="Rockwell"/>
          <w:sz w:val="24"/>
          <w:szCs w:val="24"/>
        </w:rPr>
        <w:t xml:space="preserve"> </w:t>
      </w:r>
      <w:r>
        <w:rPr>
          <w:rFonts w:ascii="Rockwell" w:hAnsi="Rockwell" w:cs="Rockwell"/>
          <w:sz w:val="24"/>
          <w:szCs w:val="24"/>
        </w:rPr>
        <w:t xml:space="preserve">mining land use(s) to be identified, provided that there has been adequate engagement with the </w:t>
      </w:r>
      <w:r w:rsidR="001B087F">
        <w:rPr>
          <w:rFonts w:ascii="Rockwell" w:hAnsi="Rockwell" w:cs="Rockwell"/>
          <w:sz w:val="24"/>
          <w:szCs w:val="24"/>
        </w:rPr>
        <w:t>g</w:t>
      </w:r>
      <w:r w:rsidR="00FE7C96">
        <w:rPr>
          <w:rFonts w:ascii="Rockwell" w:hAnsi="Rockwell" w:cs="Rockwell"/>
          <w:sz w:val="24"/>
          <w:szCs w:val="24"/>
        </w:rPr>
        <w:t xml:space="preserve">overnment, </w:t>
      </w:r>
      <w:r w:rsidR="00707464">
        <w:rPr>
          <w:rFonts w:ascii="Rockwell" w:hAnsi="Rockwell" w:cs="Rockwell"/>
          <w:sz w:val="24"/>
          <w:szCs w:val="24"/>
        </w:rPr>
        <w:t>PAPs</w:t>
      </w:r>
      <w:r>
        <w:rPr>
          <w:rFonts w:ascii="Rockwell" w:hAnsi="Rockwell" w:cs="Rockwell"/>
          <w:sz w:val="24"/>
          <w:szCs w:val="24"/>
        </w:rPr>
        <w:t>, local communities and other key stakeholders</w:t>
      </w:r>
      <w:r w:rsidR="00707464">
        <w:rPr>
          <w:rFonts w:ascii="Rockwell" w:hAnsi="Rockwell" w:cs="Rockwell"/>
          <w:sz w:val="24"/>
          <w:szCs w:val="24"/>
        </w:rPr>
        <w:t>. A</w:t>
      </w:r>
      <w:r>
        <w:rPr>
          <w:rFonts w:ascii="Rockwell" w:hAnsi="Rockwell" w:cs="Rockwell"/>
          <w:sz w:val="24"/>
          <w:szCs w:val="24"/>
        </w:rPr>
        <w:t xml:space="preserve"> clear process and timelines to further identify or refine the agreed post-mining land use(s), Human Rights-Based Approaches and Grievance Redress Mechanisms (GRM) </w:t>
      </w:r>
      <w:r w:rsidR="00707464">
        <w:rPr>
          <w:rFonts w:ascii="Rockwell" w:hAnsi="Rockwell" w:cs="Rockwell"/>
          <w:sz w:val="24"/>
          <w:szCs w:val="24"/>
        </w:rPr>
        <w:t xml:space="preserve">should be communicated </w:t>
      </w:r>
      <w:r>
        <w:rPr>
          <w:rFonts w:ascii="Rockwell" w:hAnsi="Rockwell" w:cs="Rockwell"/>
          <w:sz w:val="24"/>
          <w:szCs w:val="24"/>
        </w:rPr>
        <w:t xml:space="preserve">as part of the </w:t>
      </w:r>
      <w:r w:rsidR="00707464">
        <w:rPr>
          <w:rFonts w:ascii="Rockwell" w:hAnsi="Rockwell" w:cs="Rockwell"/>
          <w:sz w:val="24"/>
          <w:szCs w:val="24"/>
        </w:rPr>
        <w:t>stakeholders’</w:t>
      </w:r>
      <w:r>
        <w:rPr>
          <w:rFonts w:ascii="Rockwell" w:hAnsi="Rockwell" w:cs="Rockwell"/>
          <w:sz w:val="24"/>
          <w:szCs w:val="24"/>
        </w:rPr>
        <w:t xml:space="preserve"> engagement process.</w:t>
      </w:r>
    </w:p>
    <w:p w:rsidR="00CE5995" w:rsidRDefault="00CE5995">
      <w:pPr>
        <w:pStyle w:val="ListParagraph"/>
        <w:spacing w:line="360" w:lineRule="auto"/>
        <w:jc w:val="both"/>
        <w:rPr>
          <w:rFonts w:ascii="Rockwell" w:hAnsi="Rockwell" w:cs="Rockwell"/>
          <w:b/>
          <w:sz w:val="24"/>
          <w:szCs w:val="24"/>
        </w:rPr>
      </w:pPr>
    </w:p>
    <w:p w:rsidR="00CE5995" w:rsidRDefault="00D37047">
      <w:pPr>
        <w:pStyle w:val="ListParagraph"/>
        <w:spacing w:line="360" w:lineRule="auto"/>
        <w:jc w:val="both"/>
        <w:outlineLvl w:val="1"/>
        <w:rPr>
          <w:rFonts w:ascii="Rockwell" w:hAnsi="Rockwell" w:cs="Rockwell"/>
          <w:b/>
          <w:sz w:val="24"/>
          <w:szCs w:val="24"/>
        </w:rPr>
      </w:pPr>
      <w:bookmarkStart w:id="96" w:name="_Toc25929"/>
      <w:bookmarkStart w:id="97" w:name="_Toc18216"/>
      <w:bookmarkStart w:id="98" w:name="_Toc20158"/>
      <w:r>
        <w:rPr>
          <w:rFonts w:ascii="Rockwell" w:hAnsi="Rockwell" w:cs="Rockwell"/>
          <w:b/>
          <w:sz w:val="24"/>
          <w:szCs w:val="24"/>
        </w:rPr>
        <w:t>3.2.16. Identification of Closure Obligations and Commitments</w:t>
      </w:r>
      <w:bookmarkEnd w:id="96"/>
      <w:bookmarkEnd w:id="97"/>
      <w:bookmarkEnd w:id="98"/>
      <w:r>
        <w:rPr>
          <w:rFonts w:ascii="Rockwell" w:hAnsi="Rockwell" w:cs="Rockwell"/>
          <w:b/>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All legal obligations relevant to rehabilitation and closure at a given mine site must be identified and provided in a suitable format</w:t>
      </w:r>
      <w:r w:rsidR="00581C13">
        <w:rPr>
          <w:rFonts w:ascii="Rockwell" w:hAnsi="Rockwell" w:cs="Rockwell"/>
          <w:sz w:val="24"/>
          <w:szCs w:val="24"/>
        </w:rPr>
        <w:t>. These i</w:t>
      </w:r>
      <w:r>
        <w:rPr>
          <w:rFonts w:ascii="Rockwell" w:hAnsi="Rockwell" w:cs="Rockwell"/>
          <w:sz w:val="24"/>
          <w:szCs w:val="24"/>
        </w:rPr>
        <w:t>nclud</w:t>
      </w:r>
      <w:r w:rsidR="00581C13">
        <w:rPr>
          <w:rFonts w:ascii="Rockwell" w:hAnsi="Rockwell" w:cs="Rockwell"/>
          <w:sz w:val="24"/>
          <w:szCs w:val="24"/>
        </w:rPr>
        <w:t>e</w:t>
      </w:r>
      <w:r>
        <w:rPr>
          <w:rFonts w:ascii="Rockwell" w:hAnsi="Rockwell" w:cs="Rockwell"/>
          <w:sz w:val="24"/>
          <w:szCs w:val="24"/>
        </w:rPr>
        <w:t xml:space="preserve"> all legally binding conditions and commitments and/or legal obligations applicable under relevant National and County legislation</w:t>
      </w:r>
      <w:r w:rsidR="00581C13">
        <w:rPr>
          <w:rFonts w:ascii="Rockwell" w:hAnsi="Rockwell" w:cs="Rockwell"/>
          <w:sz w:val="24"/>
          <w:szCs w:val="24"/>
        </w:rPr>
        <w:t>s</w:t>
      </w:r>
      <w:r>
        <w:rPr>
          <w:rFonts w:ascii="Rockwell" w:hAnsi="Rockwell" w:cs="Rockwell"/>
          <w:sz w:val="24"/>
          <w:szCs w:val="24"/>
        </w:rPr>
        <w:t>. These include:</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Mining Act, 2016</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E</w:t>
      </w:r>
      <w:r w:rsidR="0081491E">
        <w:rPr>
          <w:rFonts w:ascii="Rockwell" w:hAnsi="Rockwell" w:cs="Rockwell"/>
          <w:sz w:val="24"/>
          <w:szCs w:val="24"/>
        </w:rPr>
        <w:t xml:space="preserve">nvironmental </w:t>
      </w:r>
      <w:r>
        <w:rPr>
          <w:rFonts w:ascii="Rockwell" w:hAnsi="Rockwell" w:cs="Rockwell"/>
          <w:sz w:val="24"/>
          <w:szCs w:val="24"/>
        </w:rPr>
        <w:t>M</w:t>
      </w:r>
      <w:r w:rsidR="0081491E">
        <w:rPr>
          <w:rFonts w:ascii="Rockwell" w:hAnsi="Rockwell" w:cs="Rockwell"/>
          <w:sz w:val="24"/>
          <w:szCs w:val="24"/>
        </w:rPr>
        <w:t xml:space="preserve">anagement </w:t>
      </w:r>
      <w:r>
        <w:rPr>
          <w:rFonts w:ascii="Rockwell" w:hAnsi="Rockwell" w:cs="Rockwell"/>
          <w:sz w:val="24"/>
          <w:szCs w:val="24"/>
        </w:rPr>
        <w:t>C</w:t>
      </w:r>
      <w:r w:rsidR="0081491E">
        <w:rPr>
          <w:rFonts w:ascii="Rockwell" w:hAnsi="Rockwell" w:cs="Rockwell"/>
          <w:sz w:val="24"/>
          <w:szCs w:val="24"/>
        </w:rPr>
        <w:t xml:space="preserve">oordination </w:t>
      </w:r>
      <w:r>
        <w:rPr>
          <w:rFonts w:ascii="Rockwell" w:hAnsi="Rockwell" w:cs="Rockwell"/>
          <w:sz w:val="24"/>
          <w:szCs w:val="24"/>
        </w:rPr>
        <w:t>A</w:t>
      </w:r>
      <w:r w:rsidR="0081491E">
        <w:rPr>
          <w:rFonts w:ascii="Rockwell" w:hAnsi="Rockwell" w:cs="Rockwell"/>
          <w:sz w:val="24"/>
          <w:szCs w:val="24"/>
        </w:rPr>
        <w:t>ct</w:t>
      </w:r>
      <w:r>
        <w:rPr>
          <w:rFonts w:ascii="Rockwell" w:hAnsi="Rockwell" w:cs="Rockwell"/>
          <w:sz w:val="24"/>
          <w:szCs w:val="24"/>
        </w:rPr>
        <w:t>, 1999</w:t>
      </w:r>
    </w:p>
    <w:p w:rsidR="00CE5995" w:rsidRDefault="00FE7C96"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O</w:t>
      </w:r>
      <w:r w:rsidR="0081491E">
        <w:rPr>
          <w:rFonts w:ascii="Rockwell" w:hAnsi="Rockwell" w:cs="Rockwell"/>
          <w:sz w:val="24"/>
          <w:szCs w:val="24"/>
        </w:rPr>
        <w:t xml:space="preserve">ccupational </w:t>
      </w:r>
      <w:r>
        <w:rPr>
          <w:rFonts w:ascii="Rockwell" w:hAnsi="Rockwell" w:cs="Rockwell"/>
          <w:sz w:val="24"/>
          <w:szCs w:val="24"/>
        </w:rPr>
        <w:t>S</w:t>
      </w:r>
      <w:r w:rsidR="0081491E">
        <w:rPr>
          <w:rFonts w:ascii="Rockwell" w:hAnsi="Rockwell" w:cs="Rockwell"/>
          <w:sz w:val="24"/>
          <w:szCs w:val="24"/>
        </w:rPr>
        <w:t xml:space="preserve">afety and </w:t>
      </w:r>
      <w:r>
        <w:rPr>
          <w:rFonts w:ascii="Rockwell" w:hAnsi="Rockwell" w:cs="Rockwell"/>
          <w:sz w:val="24"/>
          <w:szCs w:val="24"/>
        </w:rPr>
        <w:t>H</w:t>
      </w:r>
      <w:r w:rsidR="0081491E">
        <w:rPr>
          <w:rFonts w:ascii="Rockwell" w:hAnsi="Rockwell" w:cs="Rockwell"/>
          <w:sz w:val="24"/>
          <w:szCs w:val="24"/>
        </w:rPr>
        <w:t xml:space="preserve">ealth </w:t>
      </w:r>
      <w:r>
        <w:rPr>
          <w:rFonts w:ascii="Rockwell" w:hAnsi="Rockwell" w:cs="Rockwell"/>
          <w:sz w:val="24"/>
          <w:szCs w:val="24"/>
        </w:rPr>
        <w:t>A</w:t>
      </w:r>
      <w:r w:rsidR="0081491E">
        <w:rPr>
          <w:rFonts w:ascii="Rockwell" w:hAnsi="Rockwell" w:cs="Rockwell"/>
          <w:sz w:val="24"/>
          <w:szCs w:val="24"/>
        </w:rPr>
        <w:t>ct</w:t>
      </w:r>
      <w:r>
        <w:rPr>
          <w:rFonts w:ascii="Rockwell" w:hAnsi="Rockwell" w:cs="Rockwell"/>
          <w:sz w:val="24"/>
          <w:szCs w:val="24"/>
        </w:rPr>
        <w:t xml:space="preserve"> </w:t>
      </w:r>
      <w:r w:rsidR="00D37047">
        <w:rPr>
          <w:rFonts w:ascii="Rockwell" w:hAnsi="Rockwell" w:cs="Rockwell"/>
          <w:sz w:val="24"/>
          <w:szCs w:val="24"/>
        </w:rPr>
        <w:t>, 2007</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Water Act, 2016</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Land Act, 2012</w:t>
      </w:r>
    </w:p>
    <w:p w:rsidR="00EF5B81"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Physical and Land Use Planning Act, 2019</w:t>
      </w:r>
    </w:p>
    <w:p w:rsidR="00EF5B81" w:rsidRPr="00EF5B81" w:rsidRDefault="00EF5B81" w:rsidP="00197AFF">
      <w:pPr>
        <w:numPr>
          <w:ilvl w:val="0"/>
          <w:numId w:val="30"/>
        </w:numPr>
        <w:tabs>
          <w:tab w:val="left" w:pos="420"/>
        </w:tabs>
        <w:spacing w:line="360" w:lineRule="auto"/>
        <w:jc w:val="both"/>
        <w:rPr>
          <w:rFonts w:ascii="Rockwell" w:hAnsi="Rockwell" w:cs="Rockwell"/>
          <w:sz w:val="24"/>
          <w:szCs w:val="24"/>
        </w:rPr>
      </w:pPr>
      <w:r w:rsidRPr="00EF5B81">
        <w:rPr>
          <w:rFonts w:ascii="Rockwell" w:hAnsi="Rockwell" w:cs="Rockwell"/>
          <w:sz w:val="24"/>
          <w:szCs w:val="24"/>
        </w:rPr>
        <w:t xml:space="preserve">Agriculture </w:t>
      </w:r>
      <w:r>
        <w:rPr>
          <w:rFonts w:ascii="Rockwell" w:hAnsi="Rockwell" w:cs="Rockwell"/>
          <w:sz w:val="24"/>
          <w:szCs w:val="24"/>
        </w:rPr>
        <w:t xml:space="preserve">Fisheries and Food Authority </w:t>
      </w:r>
      <w:r w:rsidRPr="00EF5B81">
        <w:rPr>
          <w:rFonts w:ascii="Rockwell" w:hAnsi="Rockwell" w:cs="Rockwell"/>
          <w:sz w:val="24"/>
          <w:szCs w:val="24"/>
        </w:rPr>
        <w:t>A</w:t>
      </w:r>
      <w:r>
        <w:rPr>
          <w:rFonts w:ascii="Rockwell" w:hAnsi="Rockwell" w:cs="Rockwell"/>
          <w:sz w:val="24"/>
          <w:szCs w:val="24"/>
        </w:rPr>
        <w:t>ct, CAP 318</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Conditions prescribed in the E</w:t>
      </w:r>
      <w:r w:rsidR="005E1D36">
        <w:rPr>
          <w:rFonts w:ascii="Rockwell" w:hAnsi="Rockwell" w:cs="Rockwell"/>
          <w:sz w:val="24"/>
          <w:szCs w:val="24"/>
        </w:rPr>
        <w:t>SIA licenc</w:t>
      </w:r>
      <w:r>
        <w:rPr>
          <w:rFonts w:ascii="Rockwell" w:hAnsi="Rockwell" w:cs="Rockwell"/>
          <w:sz w:val="24"/>
          <w:szCs w:val="24"/>
        </w:rPr>
        <w:t>e</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 xml:space="preserve">Environmental </w:t>
      </w:r>
      <w:r w:rsidR="004D7143">
        <w:rPr>
          <w:rFonts w:ascii="Rockwell" w:hAnsi="Rockwell" w:cs="Rockwell"/>
          <w:sz w:val="24"/>
          <w:szCs w:val="24"/>
        </w:rPr>
        <w:t>Rehabilitation</w:t>
      </w:r>
      <w:r>
        <w:rPr>
          <w:rFonts w:ascii="Rockwell" w:hAnsi="Rockwell" w:cs="Rockwell"/>
          <w:sz w:val="24"/>
          <w:szCs w:val="24"/>
        </w:rPr>
        <w:t xml:space="preserve"> Orders and Improvement Orders</w:t>
      </w:r>
    </w:p>
    <w:p w:rsidR="00CE5995" w:rsidRDefault="00D37047" w:rsidP="00197AFF">
      <w:pPr>
        <w:numPr>
          <w:ilvl w:val="0"/>
          <w:numId w:val="30"/>
        </w:numPr>
        <w:tabs>
          <w:tab w:val="left" w:pos="420"/>
        </w:tabs>
        <w:spacing w:line="360" w:lineRule="auto"/>
        <w:jc w:val="both"/>
        <w:rPr>
          <w:rFonts w:ascii="Rockwell" w:hAnsi="Rockwell" w:cs="Rockwell"/>
          <w:sz w:val="24"/>
          <w:szCs w:val="24"/>
        </w:rPr>
      </w:pPr>
      <w:r>
        <w:rPr>
          <w:rFonts w:ascii="Rockwell" w:hAnsi="Rockwell" w:cs="Rockwell"/>
          <w:sz w:val="24"/>
          <w:szCs w:val="24"/>
        </w:rPr>
        <w:t>The decommissioning specification</w:t>
      </w:r>
      <w:r w:rsidR="00FE7C96">
        <w:rPr>
          <w:rFonts w:ascii="Rockwell" w:hAnsi="Rockwell" w:cs="Rockwell"/>
          <w:sz w:val="24"/>
          <w:szCs w:val="24"/>
        </w:rPr>
        <w:t>s</w:t>
      </w:r>
      <w:r>
        <w:rPr>
          <w:rFonts w:ascii="Rockwell" w:hAnsi="Rockwell" w:cs="Rockwell"/>
          <w:sz w:val="24"/>
          <w:szCs w:val="24"/>
        </w:rPr>
        <w:t xml:space="preserve"> and standards</w:t>
      </w:r>
      <w:r w:rsidR="00EF5B81">
        <w:rPr>
          <w:rFonts w:ascii="Rockwell" w:hAnsi="Rockwell" w:cs="Rockwell"/>
          <w:sz w:val="24"/>
          <w:szCs w:val="24"/>
        </w:rPr>
        <w:t xml:space="preserve"> (National and International best practices).</w:t>
      </w:r>
    </w:p>
    <w:p w:rsidR="00CE5995" w:rsidRDefault="00CE5995">
      <w:pPr>
        <w:spacing w:line="360" w:lineRule="auto"/>
        <w:jc w:val="both"/>
        <w:rPr>
          <w:rFonts w:ascii="Rockwell" w:hAnsi="Rockwell" w:cs="Rockwell"/>
          <w:sz w:val="24"/>
          <w:szCs w:val="24"/>
        </w:rPr>
      </w:pPr>
    </w:p>
    <w:p w:rsidR="00CE5995" w:rsidRDefault="00D37047">
      <w:pPr>
        <w:pStyle w:val="ListParagraph"/>
        <w:spacing w:line="360" w:lineRule="auto"/>
        <w:jc w:val="both"/>
        <w:outlineLvl w:val="1"/>
        <w:rPr>
          <w:rFonts w:ascii="Rockwell" w:hAnsi="Rockwell" w:cs="Rockwell"/>
          <w:b/>
          <w:sz w:val="24"/>
          <w:szCs w:val="24"/>
        </w:rPr>
      </w:pPr>
      <w:bookmarkStart w:id="99" w:name="_Toc3469"/>
      <w:bookmarkStart w:id="100" w:name="_Toc31567"/>
      <w:bookmarkStart w:id="101" w:name="_Toc12624"/>
      <w:r>
        <w:rPr>
          <w:rFonts w:ascii="Rockwell" w:hAnsi="Rockwell" w:cs="Rockwell"/>
          <w:b/>
          <w:sz w:val="24"/>
          <w:szCs w:val="24"/>
        </w:rPr>
        <w:t xml:space="preserve">3.2.17. Engagement with the </w:t>
      </w:r>
      <w:r w:rsidR="00DA7175">
        <w:rPr>
          <w:rFonts w:ascii="Rockwell" w:hAnsi="Rockwell" w:cs="Rockwell"/>
          <w:b/>
          <w:sz w:val="24"/>
          <w:szCs w:val="24"/>
        </w:rPr>
        <w:t>Project Affected Persons, Local Comm</w:t>
      </w:r>
      <w:r>
        <w:rPr>
          <w:rFonts w:ascii="Rockwell" w:hAnsi="Rockwell" w:cs="Rockwell"/>
          <w:b/>
          <w:sz w:val="24"/>
          <w:szCs w:val="24"/>
        </w:rPr>
        <w:t>unities and other Stakeholders</w:t>
      </w:r>
      <w:bookmarkEnd w:id="99"/>
      <w:bookmarkEnd w:id="100"/>
      <w:bookmarkEnd w:id="101"/>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mine operator shall identify all the stakeholders to be engaged since stakeholder engagement is a key component of mine site decommissioning planning. Early and continuous engagement with stakeholders enables operators to better understand and manage stakeholder expectations and the potential risks associated with closure. Failure to undertake a stakeholder engagement program may compromise the approval process and mine closure outcomes.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Mine site decommissioning plan reporting requires that a tabulated summary on all engagement between the operator and the relevant parties be provided. It should include: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Date of engagement;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A description of the nature of the engagement;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Level of information provided to stakeholders;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 xml:space="preserve">Who the stakeholders were;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The comments and issues</w:t>
      </w:r>
      <w:r w:rsidR="00DA7175">
        <w:rPr>
          <w:rFonts w:ascii="Rockwell" w:hAnsi="Rockwell" w:cs="Rockwell"/>
          <w:sz w:val="24"/>
          <w:szCs w:val="24"/>
        </w:rPr>
        <w:t xml:space="preserve"> raised by the stakeholders;</w:t>
      </w:r>
      <w:r>
        <w:rPr>
          <w:rFonts w:ascii="Rockwell" w:hAnsi="Rockwell" w:cs="Rockwell"/>
          <w:sz w:val="24"/>
          <w:szCs w:val="24"/>
        </w:rPr>
        <w:t xml:space="preserve"> </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How the operator has responded to the concerns raised and report the stakeholder response to the proposed resolution</w:t>
      </w:r>
      <w:r w:rsidR="00DA7175">
        <w:rPr>
          <w:rFonts w:ascii="Rockwell" w:hAnsi="Rockwell" w:cs="Rockwell"/>
          <w:sz w:val="24"/>
          <w:szCs w:val="24"/>
        </w:rPr>
        <w:t>; and</w:t>
      </w:r>
    </w:p>
    <w:p w:rsidR="00CE5995" w:rsidRDefault="00D37047" w:rsidP="00197AFF">
      <w:pPr>
        <w:numPr>
          <w:ilvl w:val="0"/>
          <w:numId w:val="10"/>
        </w:numPr>
        <w:spacing w:line="360" w:lineRule="auto"/>
        <w:jc w:val="both"/>
        <w:rPr>
          <w:rFonts w:ascii="Rockwell" w:hAnsi="Rockwell" w:cs="Rockwell"/>
          <w:sz w:val="24"/>
          <w:szCs w:val="24"/>
        </w:rPr>
      </w:pPr>
      <w:r>
        <w:rPr>
          <w:rFonts w:ascii="Rockwell" w:hAnsi="Rockwell" w:cs="Rockwell"/>
          <w:sz w:val="24"/>
          <w:szCs w:val="24"/>
        </w:rPr>
        <w:t>Evidence of the stakeholder engagements and process. This should be in form of  attendance lists, minutes, pictorials and videography</w:t>
      </w:r>
    </w:p>
    <w:p w:rsidR="00CE5995" w:rsidRDefault="00CE5995">
      <w:pPr>
        <w:numPr>
          <w:ilvl w:val="255"/>
          <w:numId w:val="0"/>
        </w:numPr>
        <w:spacing w:line="360" w:lineRule="auto"/>
        <w:jc w:val="both"/>
        <w:rPr>
          <w:rFonts w:ascii="Rockwell" w:hAnsi="Rockwell" w:cs="Rockwell"/>
          <w:sz w:val="24"/>
          <w:szCs w:val="24"/>
        </w:rPr>
      </w:pPr>
    </w:p>
    <w:p w:rsidR="00CE5995" w:rsidRDefault="00D37047">
      <w:pPr>
        <w:numPr>
          <w:ilvl w:val="255"/>
          <w:numId w:val="0"/>
        </w:numPr>
        <w:spacing w:line="360" w:lineRule="auto"/>
        <w:jc w:val="both"/>
        <w:rPr>
          <w:rFonts w:ascii="Rockwell" w:hAnsi="Rockwell" w:cs="Rockwell"/>
          <w:sz w:val="24"/>
          <w:szCs w:val="24"/>
        </w:rPr>
      </w:pPr>
      <w:r>
        <w:rPr>
          <w:rFonts w:ascii="Rockwell" w:hAnsi="Rockwell" w:cs="Rockwell"/>
          <w:sz w:val="24"/>
          <w:szCs w:val="24"/>
        </w:rPr>
        <w:t>The operator shall ensure that adequate resources are provided/allocated to ensure effective engagement process</w:t>
      </w:r>
      <w:r w:rsidR="00DA7175">
        <w:rPr>
          <w:rFonts w:ascii="Rockwell" w:hAnsi="Rockwell" w:cs="Rockwell"/>
          <w:sz w:val="24"/>
          <w:szCs w:val="24"/>
        </w:rPr>
        <w:t>.</w:t>
      </w:r>
    </w:p>
    <w:p w:rsidR="00A017DA" w:rsidRDefault="00A017DA">
      <w:pPr>
        <w:numPr>
          <w:ilvl w:val="255"/>
          <w:numId w:val="0"/>
        </w:numPr>
        <w:spacing w:line="360" w:lineRule="auto"/>
        <w:jc w:val="both"/>
        <w:rPr>
          <w:rFonts w:ascii="Rockwell" w:hAnsi="Rockwell" w:cs="Rockwell"/>
          <w:sz w:val="24"/>
          <w:szCs w:val="24"/>
        </w:rPr>
      </w:pPr>
    </w:p>
    <w:p w:rsidR="00CE5995" w:rsidRDefault="00D37047" w:rsidP="00197AFF">
      <w:pPr>
        <w:spacing w:line="360" w:lineRule="auto"/>
        <w:jc w:val="both"/>
        <w:rPr>
          <w:rFonts w:ascii="Rockwell" w:hAnsi="Rockwell" w:cs="Rockwell"/>
          <w:b/>
          <w:sz w:val="24"/>
          <w:szCs w:val="24"/>
        </w:rPr>
      </w:pPr>
      <w:r>
        <w:rPr>
          <w:rFonts w:ascii="Rockwell" w:hAnsi="Rockwell" w:cs="Rockwell"/>
          <w:sz w:val="24"/>
          <w:szCs w:val="24"/>
        </w:rPr>
        <w:t xml:space="preserve"> </w:t>
      </w:r>
      <w:bookmarkStart w:id="102" w:name="_Toc24007"/>
      <w:bookmarkStart w:id="103" w:name="_Toc2388"/>
      <w:bookmarkStart w:id="104" w:name="_Toc24421"/>
      <w:r>
        <w:rPr>
          <w:rFonts w:ascii="Rockwell" w:hAnsi="Rockwell" w:cs="Rockwell"/>
          <w:b/>
          <w:sz w:val="24"/>
          <w:szCs w:val="24"/>
        </w:rPr>
        <w:t>3.2.18. Post</w:t>
      </w:r>
      <w:r w:rsidR="005611FF">
        <w:rPr>
          <w:rFonts w:ascii="Rockwell" w:hAnsi="Rockwell" w:cs="Rockwell"/>
          <w:b/>
          <w:sz w:val="24"/>
          <w:szCs w:val="24"/>
        </w:rPr>
        <w:t xml:space="preserve"> closure Audits and Monitoring R</w:t>
      </w:r>
      <w:r>
        <w:rPr>
          <w:rFonts w:ascii="Rockwell" w:hAnsi="Rockwell" w:cs="Rockwell"/>
          <w:b/>
          <w:sz w:val="24"/>
          <w:szCs w:val="24"/>
        </w:rPr>
        <w:t>esponsibilities</w:t>
      </w:r>
      <w:bookmarkEnd w:id="102"/>
      <w:bookmarkEnd w:id="103"/>
      <w:bookmarkEnd w:id="104"/>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Unless prescribed by the Authority on a case by case basis, the mine operator shall prepare and submit post closure audits annually to the Authority. </w:t>
      </w:r>
    </w:p>
    <w:p w:rsidR="00CE5995" w:rsidRDefault="00D37047">
      <w:pPr>
        <w:spacing w:line="360" w:lineRule="auto"/>
        <w:jc w:val="both"/>
        <w:rPr>
          <w:rFonts w:ascii="Rockwell" w:hAnsi="Rockwell" w:cs="Rockwell"/>
          <w:sz w:val="24"/>
          <w:szCs w:val="24"/>
        </w:rPr>
      </w:pPr>
      <w:r>
        <w:rPr>
          <w:rFonts w:ascii="Rockwell" w:hAnsi="Rockwell" w:cs="Rockwell"/>
          <w:sz w:val="24"/>
          <w:szCs w:val="24"/>
        </w:rPr>
        <w:t>The operator shall also monitor environmental elements, parameters and measurable indicators to inform the measurement of environmental changes that have occurred towards achieving the required decommissioning specifications and standards.</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In meeting the required decommissioning specifications and standards, the operator shall take into account the following factors: </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public safety of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stability of the site under a range of seasonal conditions representative of that climate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Ecological system recovery at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state of recovery in comparison to the surrounding area</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aesthetic value of the site</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Sampling and analysis of applicable parameters</w:t>
      </w:r>
      <w:r w:rsidR="005611FF">
        <w:rPr>
          <w:rFonts w:ascii="Rockwell" w:hAnsi="Rockwell" w:cs="Rockwell"/>
          <w:sz w:val="24"/>
          <w:szCs w:val="24"/>
        </w:rPr>
        <w:t>;</w:t>
      </w:r>
    </w:p>
    <w:p w:rsidR="00CE5995" w:rsidRDefault="00D37047"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The compatible after-use plan of the site and the potential for improved future land use planning and /or site development</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Involvement of the PAPs, the local community and other stakeholders</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timescales to meet the required decommissioning standards</w:t>
      </w:r>
      <w:r w:rsidR="005611FF">
        <w:rPr>
          <w:rFonts w:ascii="Rockwell" w:hAnsi="Rockwell" w:cs="Rockwell"/>
          <w:sz w:val="24"/>
          <w:szCs w:val="24"/>
        </w:rPr>
        <w:t>;</w:t>
      </w:r>
    </w:p>
    <w:p w:rsidR="00CE5995" w:rsidRDefault="00D37047" w:rsidP="00197AFF">
      <w:pPr>
        <w:numPr>
          <w:ilvl w:val="0"/>
          <w:numId w:val="31"/>
        </w:numPr>
        <w:spacing w:line="360" w:lineRule="auto"/>
        <w:jc w:val="both"/>
        <w:rPr>
          <w:rFonts w:ascii="Rockwell" w:hAnsi="Rockwell" w:cs="Rockwell"/>
          <w:sz w:val="24"/>
          <w:szCs w:val="24"/>
        </w:rPr>
      </w:pPr>
      <w:r>
        <w:rPr>
          <w:rFonts w:ascii="Rockwell" w:hAnsi="Rockwell" w:cs="Rockwell"/>
          <w:sz w:val="24"/>
          <w:szCs w:val="24"/>
        </w:rPr>
        <w:t>The remediation of any contaminated sites</w:t>
      </w:r>
      <w:r w:rsidR="005611FF">
        <w:rPr>
          <w:rFonts w:ascii="Rockwell" w:hAnsi="Rockwell" w:cs="Rockwell"/>
          <w:sz w:val="24"/>
          <w:szCs w:val="24"/>
        </w:rPr>
        <w:t>;</w:t>
      </w:r>
      <w:r>
        <w:rPr>
          <w:rFonts w:ascii="Rockwell" w:hAnsi="Rockwell" w:cs="Rockwell"/>
          <w:sz w:val="24"/>
          <w:szCs w:val="24"/>
        </w:rPr>
        <w:t xml:space="preserve"> </w:t>
      </w:r>
    </w:p>
    <w:p w:rsidR="00CE5995" w:rsidRDefault="005611FF"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O</w:t>
      </w:r>
      <w:r w:rsidR="00D37047">
        <w:rPr>
          <w:rFonts w:ascii="Rockwell" w:hAnsi="Rockwell" w:cs="Rockwell"/>
          <w:sz w:val="24"/>
          <w:szCs w:val="24"/>
        </w:rPr>
        <w:t xml:space="preserve">peration and monitoring information or other information that meets a specific purpose (e.g. maps, </w:t>
      </w:r>
      <w:r>
        <w:rPr>
          <w:rFonts w:ascii="Rockwell" w:hAnsi="Rockwell" w:cs="Rockwell"/>
          <w:sz w:val="24"/>
          <w:szCs w:val="24"/>
        </w:rPr>
        <w:t xml:space="preserve">photos, </w:t>
      </w:r>
      <w:r w:rsidR="00D37047">
        <w:rPr>
          <w:rFonts w:ascii="Rockwell" w:hAnsi="Rockwell" w:cs="Rockwell"/>
          <w:sz w:val="24"/>
          <w:szCs w:val="24"/>
        </w:rPr>
        <w:t>area statistics, species lists or modelled environmental impacts)</w:t>
      </w:r>
      <w:r>
        <w:rPr>
          <w:rFonts w:ascii="Rockwell" w:hAnsi="Rockwell" w:cs="Rockwell"/>
          <w:sz w:val="24"/>
          <w:szCs w:val="24"/>
        </w:rPr>
        <w:t>; and</w:t>
      </w:r>
      <w:r w:rsidR="00D37047">
        <w:rPr>
          <w:rFonts w:ascii="Rockwell" w:hAnsi="Rockwell" w:cs="Rockwell"/>
          <w:sz w:val="24"/>
          <w:szCs w:val="24"/>
        </w:rPr>
        <w:t xml:space="preserve"> </w:t>
      </w:r>
    </w:p>
    <w:p w:rsidR="00CE5995" w:rsidRDefault="00D37047" w:rsidP="00197AFF">
      <w:pPr>
        <w:pStyle w:val="ListParagraph"/>
        <w:numPr>
          <w:ilvl w:val="0"/>
          <w:numId w:val="31"/>
        </w:numPr>
        <w:spacing w:line="360" w:lineRule="auto"/>
        <w:jc w:val="both"/>
        <w:rPr>
          <w:rFonts w:ascii="Rockwell" w:hAnsi="Rockwell" w:cs="Rockwell"/>
          <w:sz w:val="24"/>
          <w:szCs w:val="24"/>
        </w:rPr>
      </w:pPr>
      <w:r>
        <w:rPr>
          <w:rFonts w:ascii="Rockwell" w:hAnsi="Rockwell" w:cs="Rockwell"/>
          <w:sz w:val="24"/>
          <w:szCs w:val="24"/>
        </w:rPr>
        <w:t xml:space="preserve">A history of closure implementation and </w:t>
      </w:r>
      <w:r w:rsidR="005611FF">
        <w:rPr>
          <w:rFonts w:ascii="Rockwell" w:hAnsi="Rockwell" w:cs="Rockwell"/>
          <w:sz w:val="24"/>
          <w:szCs w:val="24"/>
        </w:rPr>
        <w:t>past developments at the site.</w:t>
      </w:r>
    </w:p>
    <w:p w:rsidR="005611FF" w:rsidRDefault="005611FF" w:rsidP="005611FF">
      <w:pPr>
        <w:pStyle w:val="ListParagraph"/>
        <w:tabs>
          <w:tab w:val="left" w:pos="420"/>
        </w:tabs>
        <w:spacing w:line="360" w:lineRule="auto"/>
        <w:ind w:left="420"/>
        <w:jc w:val="both"/>
        <w:rPr>
          <w:rFonts w:ascii="Rockwell" w:hAnsi="Rockwell" w:cs="Rockwell"/>
          <w:sz w:val="24"/>
          <w:szCs w:val="24"/>
        </w:rPr>
      </w:pPr>
    </w:p>
    <w:p w:rsidR="00CE5995" w:rsidRDefault="00D37047">
      <w:pPr>
        <w:pStyle w:val="ListParagraph"/>
        <w:numPr>
          <w:ilvl w:val="255"/>
          <w:numId w:val="0"/>
        </w:numPr>
        <w:spacing w:line="360" w:lineRule="auto"/>
        <w:jc w:val="both"/>
        <w:rPr>
          <w:rFonts w:ascii="Rockwell" w:hAnsi="Rockwell" w:cs="Rockwell"/>
          <w:sz w:val="24"/>
          <w:szCs w:val="24"/>
        </w:rPr>
      </w:pPr>
      <w:r>
        <w:rPr>
          <w:rFonts w:ascii="Rockwell" w:hAnsi="Rockwell" w:cs="Rockwell"/>
          <w:sz w:val="24"/>
          <w:szCs w:val="24"/>
        </w:rPr>
        <w:t>The Authority in consultation with the relevant lead agencies shall undertake periodic</w:t>
      </w:r>
      <w:r w:rsidR="002944FC">
        <w:rPr>
          <w:rFonts w:ascii="Rockwell" w:hAnsi="Rockwell" w:cs="Rockwell"/>
          <w:sz w:val="24"/>
          <w:szCs w:val="24"/>
        </w:rPr>
        <w:t xml:space="preserve"> environmental monitoring and/or </w:t>
      </w:r>
      <w:r>
        <w:rPr>
          <w:rFonts w:ascii="Rockwell" w:hAnsi="Rockwell" w:cs="Rockwell"/>
          <w:sz w:val="24"/>
          <w:szCs w:val="24"/>
        </w:rPr>
        <w:t>control environmental audits, whenever it is deemed necessary to check compliance with environmental parameters and prescribed standards for the mine site.</w:t>
      </w:r>
    </w:p>
    <w:p w:rsidR="00A017DA" w:rsidRDefault="00A017DA">
      <w:pPr>
        <w:pStyle w:val="ListParagraph"/>
        <w:numPr>
          <w:ilvl w:val="255"/>
          <w:numId w:val="0"/>
        </w:numPr>
        <w:spacing w:line="360" w:lineRule="auto"/>
        <w:jc w:val="both"/>
        <w:rPr>
          <w:rFonts w:ascii="Rockwell" w:hAnsi="Rockwell" w:cs="Rockwell"/>
          <w:sz w:val="24"/>
          <w:szCs w:val="24"/>
        </w:rPr>
      </w:pPr>
    </w:p>
    <w:p w:rsidR="00CE5995" w:rsidRDefault="00D37047">
      <w:pPr>
        <w:pStyle w:val="ListParagraph"/>
        <w:spacing w:line="360" w:lineRule="auto"/>
        <w:jc w:val="both"/>
        <w:outlineLvl w:val="1"/>
        <w:rPr>
          <w:rFonts w:ascii="Rockwell" w:hAnsi="Rockwell" w:cs="Rockwell"/>
          <w:b/>
          <w:sz w:val="24"/>
          <w:szCs w:val="24"/>
        </w:rPr>
      </w:pPr>
      <w:bookmarkStart w:id="105" w:name="_Toc32180"/>
      <w:bookmarkStart w:id="106" w:name="_Toc20421"/>
      <w:bookmarkStart w:id="107" w:name="_Toc18997"/>
      <w:r>
        <w:rPr>
          <w:rFonts w:ascii="Rockwell" w:hAnsi="Rockwell" w:cs="Rockwell"/>
          <w:b/>
          <w:sz w:val="24"/>
          <w:szCs w:val="24"/>
        </w:rPr>
        <w:t>3.2.19. Financial Provision for Closure</w:t>
      </w:r>
      <w:bookmarkEnd w:id="105"/>
      <w:bookmarkEnd w:id="106"/>
      <w:bookmarkEnd w:id="107"/>
      <w:r>
        <w:rPr>
          <w:rFonts w:ascii="Rockwell" w:hAnsi="Rockwell" w:cs="Rockwell"/>
          <w:b/>
          <w:sz w:val="24"/>
          <w:szCs w:val="24"/>
        </w:rPr>
        <w:t xml:space="preserve"> </w:t>
      </w: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Current international practice requires that the financial guarantees need to be calculated and secured ahead of mining activities. Ideally, funds for mine closure should be available to close the mines at any stage of the mine life whether the operator is there or not.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 xml:space="preserve">The objective of financial provisioning for closure is to ensure that adequate funds are available at the time of closure and that the community is not left with an unacceptable liability. To that end, it is essential that the cost of closure be estimated as early as possible. The financial provisioning process and methodology has to be transparent and verifiable, assumptions and uncertainties have to be clearly documented, and they have to be based on reasonable, site-specific information and data throughout the life of the project. The closure cost estimates must be regularly reviewed to reflect changing circumstances and levels of risk. This will ensure that the accuracy of closure costs is refined and improved with time, and will assist with management and mitigation of high-risk issues. </w:t>
      </w:r>
    </w:p>
    <w:p w:rsidR="00CE5995" w:rsidRDefault="00CE5995">
      <w:pPr>
        <w:spacing w:line="360" w:lineRule="auto"/>
        <w:jc w:val="both"/>
        <w:rPr>
          <w:rFonts w:ascii="Rockwell" w:hAnsi="Rockwell" w:cs="Rockwell"/>
          <w:sz w:val="24"/>
          <w:szCs w:val="24"/>
        </w:rPr>
      </w:pPr>
    </w:p>
    <w:p w:rsidR="00CE5995" w:rsidRDefault="00D37047">
      <w:pPr>
        <w:spacing w:line="360" w:lineRule="auto"/>
        <w:jc w:val="both"/>
        <w:rPr>
          <w:rFonts w:ascii="Rockwell" w:hAnsi="Rockwell" w:cs="Rockwell"/>
          <w:sz w:val="24"/>
          <w:szCs w:val="24"/>
        </w:rPr>
      </w:pPr>
      <w:r>
        <w:rPr>
          <w:rFonts w:ascii="Rockwell" w:hAnsi="Rockwell" w:cs="Rockwell"/>
          <w:sz w:val="24"/>
          <w:szCs w:val="24"/>
        </w:rPr>
        <w:t>The financing of</w:t>
      </w:r>
      <w:r w:rsidR="005611FF">
        <w:rPr>
          <w:rFonts w:ascii="Rockwell" w:hAnsi="Rockwell" w:cs="Rockwell"/>
          <w:sz w:val="24"/>
          <w:szCs w:val="24"/>
        </w:rPr>
        <w:t xml:space="preserve"> decommissioning, </w:t>
      </w:r>
      <w:r>
        <w:rPr>
          <w:rFonts w:ascii="Rockwell" w:hAnsi="Rockwell" w:cs="Rockwell"/>
          <w:sz w:val="24"/>
          <w:szCs w:val="24"/>
        </w:rPr>
        <w:t xml:space="preserve">rehabilitation </w:t>
      </w:r>
      <w:r w:rsidR="005611FF">
        <w:rPr>
          <w:rFonts w:ascii="Rockwell" w:hAnsi="Rockwell" w:cs="Rockwell"/>
          <w:sz w:val="24"/>
          <w:szCs w:val="24"/>
        </w:rPr>
        <w:t xml:space="preserve">and closure </w:t>
      </w:r>
      <w:r>
        <w:rPr>
          <w:rFonts w:ascii="Rockwell" w:hAnsi="Rockwell" w:cs="Rockwell"/>
          <w:sz w:val="24"/>
          <w:szCs w:val="24"/>
        </w:rPr>
        <w:t xml:space="preserve">of </w:t>
      </w:r>
      <w:r w:rsidR="005611FF">
        <w:rPr>
          <w:rFonts w:ascii="Rockwell" w:hAnsi="Rockwell" w:cs="Rockwell"/>
          <w:sz w:val="24"/>
          <w:szCs w:val="24"/>
        </w:rPr>
        <w:t xml:space="preserve">the </w:t>
      </w:r>
      <w:r>
        <w:rPr>
          <w:rFonts w:ascii="Rockwell" w:hAnsi="Rockwell" w:cs="Rockwell"/>
          <w:sz w:val="24"/>
          <w:szCs w:val="24"/>
        </w:rPr>
        <w:t xml:space="preserve">mine sites </w:t>
      </w:r>
      <w:r w:rsidR="005611FF">
        <w:rPr>
          <w:rFonts w:ascii="Rockwell" w:hAnsi="Rockwell" w:cs="Rockwell"/>
          <w:sz w:val="24"/>
          <w:szCs w:val="24"/>
        </w:rPr>
        <w:t xml:space="preserve">is within the provisions of </w:t>
      </w:r>
      <w:r>
        <w:rPr>
          <w:rFonts w:ascii="Rockwell" w:hAnsi="Rockwell" w:cs="Rockwell"/>
          <w:sz w:val="24"/>
          <w:szCs w:val="24"/>
        </w:rPr>
        <w:t xml:space="preserve">the Polluter Pays Principle </w:t>
      </w:r>
      <w:r w:rsidR="00D85828">
        <w:rPr>
          <w:rFonts w:ascii="Rockwell" w:hAnsi="Rockwell" w:cs="Rockwell"/>
          <w:sz w:val="24"/>
          <w:szCs w:val="24"/>
        </w:rPr>
        <w:t xml:space="preserve">and </w:t>
      </w:r>
      <w:r>
        <w:rPr>
          <w:rFonts w:ascii="Rockwell" w:hAnsi="Rockwell" w:cs="Rockwell"/>
          <w:sz w:val="24"/>
          <w:szCs w:val="24"/>
        </w:rPr>
        <w:t xml:space="preserve">as </w:t>
      </w:r>
      <w:r w:rsidR="00D85828">
        <w:rPr>
          <w:rFonts w:ascii="Rockwell" w:hAnsi="Rockwell" w:cs="Rockwell"/>
          <w:sz w:val="24"/>
          <w:szCs w:val="24"/>
        </w:rPr>
        <w:t xml:space="preserve">specified </w:t>
      </w:r>
      <w:r w:rsidR="00894BD1">
        <w:rPr>
          <w:rFonts w:ascii="Rockwell" w:hAnsi="Rockwell" w:cs="Rockwell"/>
          <w:sz w:val="24"/>
          <w:szCs w:val="24"/>
        </w:rPr>
        <w:t>under section 28 of EMCA, 1999 a</w:t>
      </w:r>
      <w:r w:rsidR="00D85828">
        <w:rPr>
          <w:rFonts w:ascii="Rockwell" w:hAnsi="Rockwell" w:cs="Rockwell"/>
          <w:sz w:val="24"/>
          <w:szCs w:val="24"/>
        </w:rPr>
        <w:t xml:space="preserve">s well as </w:t>
      </w:r>
      <w:r>
        <w:rPr>
          <w:rFonts w:ascii="Rockwell" w:hAnsi="Rockwell" w:cs="Rockwell"/>
          <w:sz w:val="24"/>
          <w:szCs w:val="24"/>
        </w:rPr>
        <w:t>internationally applicable best practice</w:t>
      </w:r>
      <w:r w:rsidR="00D85828">
        <w:rPr>
          <w:rFonts w:ascii="Rockwell" w:hAnsi="Rockwell" w:cs="Rockwell"/>
          <w:sz w:val="24"/>
          <w:szCs w:val="24"/>
        </w:rPr>
        <w:t>s</w:t>
      </w:r>
      <w:r>
        <w:rPr>
          <w:rFonts w:ascii="Rockwell" w:hAnsi="Rockwell" w:cs="Rockwell"/>
          <w:sz w:val="24"/>
          <w:szCs w:val="24"/>
        </w:rPr>
        <w:t>. This should place the onus of expenditure for site assessment, management, decommissioning, remediation, waste treatment and disposal on those responsible for the pollution.</w:t>
      </w:r>
    </w:p>
    <w:p w:rsidR="00CE5995" w:rsidRDefault="001A6076">
      <w:pPr>
        <w:pStyle w:val="Heading1"/>
        <w:rPr>
          <w:rFonts w:ascii="Rockwell" w:hAnsi="Rockwell" w:cs="Rockwell"/>
          <w:b/>
          <w:color w:val="auto"/>
          <w:sz w:val="24"/>
          <w:szCs w:val="24"/>
        </w:rPr>
      </w:pPr>
      <w:bookmarkStart w:id="108" w:name="_Toc425714"/>
      <w:bookmarkStart w:id="109" w:name="_Toc26895"/>
      <w:bookmarkStart w:id="110" w:name="_Toc6952"/>
      <w:bookmarkStart w:id="111" w:name="_Toc1864"/>
      <w:r>
        <w:rPr>
          <w:rFonts w:ascii="Rockwell" w:hAnsi="Rockwell" w:cs="Rockwell"/>
          <w:b/>
          <w:color w:val="auto"/>
          <w:sz w:val="24"/>
          <w:szCs w:val="24"/>
        </w:rPr>
        <w:t xml:space="preserve">3.3 </w:t>
      </w:r>
      <w:r w:rsidR="00D37047">
        <w:rPr>
          <w:rFonts w:ascii="Rockwell" w:hAnsi="Rockwell" w:cs="Rockwell"/>
          <w:b/>
          <w:color w:val="auto"/>
          <w:sz w:val="24"/>
          <w:szCs w:val="24"/>
        </w:rPr>
        <w:t xml:space="preserve">Review of Mine </w:t>
      </w:r>
      <w:r w:rsidR="005D1B23">
        <w:rPr>
          <w:rFonts w:ascii="Rockwell" w:hAnsi="Rockwell" w:cs="Rockwell"/>
          <w:b/>
          <w:color w:val="auto"/>
          <w:sz w:val="24"/>
          <w:szCs w:val="24"/>
        </w:rPr>
        <w:t>Decommissioning a</w:t>
      </w:r>
      <w:r>
        <w:rPr>
          <w:rFonts w:ascii="Rockwell" w:hAnsi="Rockwell" w:cs="Rockwell"/>
          <w:b/>
          <w:color w:val="auto"/>
          <w:sz w:val="24"/>
          <w:szCs w:val="24"/>
        </w:rPr>
        <w:t>nd Rehabilitation Plan</w:t>
      </w:r>
      <w:bookmarkEnd w:id="108"/>
      <w:bookmarkEnd w:id="109"/>
      <w:bookmarkEnd w:id="110"/>
      <w:bookmarkEnd w:id="111"/>
    </w:p>
    <w:p w:rsidR="00CE5995" w:rsidRDefault="00CE5995">
      <w:pPr>
        <w:autoSpaceDE w:val="0"/>
        <w:autoSpaceDN w:val="0"/>
        <w:adjustRightInd w:val="0"/>
        <w:spacing w:line="360" w:lineRule="auto"/>
        <w:jc w:val="both"/>
        <w:rPr>
          <w:rFonts w:ascii="Rockwell" w:hAnsi="Rockwell" w:cs="Rockwell"/>
          <w:sz w:val="24"/>
          <w:szCs w:val="24"/>
        </w:rPr>
      </w:pPr>
    </w:p>
    <w:p w:rsidR="00CE5995" w:rsidRDefault="00D37047">
      <w:pPr>
        <w:numPr>
          <w:ilvl w:val="255"/>
          <w:numId w:val="0"/>
        </w:numPr>
        <w:autoSpaceDE w:val="0"/>
        <w:autoSpaceDN w:val="0"/>
        <w:adjustRightInd w:val="0"/>
        <w:spacing w:line="360" w:lineRule="auto"/>
        <w:ind w:left="72"/>
        <w:jc w:val="both"/>
        <w:rPr>
          <w:rFonts w:ascii="Rockwell" w:hAnsi="Rockwell" w:cs="Rockwell"/>
          <w:sz w:val="24"/>
          <w:szCs w:val="24"/>
          <w:lang w:eastAsia="en-GB"/>
        </w:rPr>
      </w:pPr>
      <w:r>
        <w:rPr>
          <w:rFonts w:ascii="Rockwell" w:hAnsi="Rockwell" w:cs="Rockwell"/>
          <w:sz w:val="24"/>
          <w:szCs w:val="24"/>
          <w:lang w:eastAsia="en-GB"/>
        </w:rPr>
        <w:t>The Authority may liaise with</w:t>
      </w:r>
      <w:r w:rsidR="001A6076">
        <w:rPr>
          <w:rFonts w:ascii="Rockwell" w:hAnsi="Rockwell" w:cs="Rockwell"/>
          <w:sz w:val="24"/>
          <w:szCs w:val="24"/>
          <w:lang w:eastAsia="en-GB"/>
        </w:rPr>
        <w:t xml:space="preserve"> the relevant lead agencies to </w:t>
      </w:r>
      <w:r>
        <w:rPr>
          <w:rFonts w:ascii="Rockwell" w:hAnsi="Rockwell" w:cs="Rockwell"/>
          <w:sz w:val="24"/>
          <w:szCs w:val="24"/>
          <w:lang w:eastAsia="en-GB"/>
        </w:rPr>
        <w:t>review the mine decommissioning and rehabilitation plan based on set criteria in accor</w:t>
      </w:r>
      <w:r w:rsidR="005D1B23">
        <w:rPr>
          <w:rFonts w:ascii="Rockwell" w:hAnsi="Rockwell" w:cs="Rockwell"/>
          <w:sz w:val="24"/>
          <w:szCs w:val="24"/>
          <w:lang w:eastAsia="en-GB"/>
        </w:rPr>
        <w:t xml:space="preserve">dance with section 3.1 of this </w:t>
      </w:r>
      <w:r w:rsidR="00313495">
        <w:rPr>
          <w:rFonts w:ascii="Rockwell" w:hAnsi="Rockwell" w:cs="Rockwell"/>
          <w:sz w:val="24"/>
          <w:szCs w:val="24"/>
          <w:lang w:eastAsia="en-GB"/>
        </w:rPr>
        <w:t>Guideline</w:t>
      </w:r>
      <w:r>
        <w:rPr>
          <w:rFonts w:ascii="Rockwell" w:hAnsi="Rockwell" w:cs="Rockwell"/>
          <w:sz w:val="24"/>
          <w:szCs w:val="24"/>
          <w:lang w:eastAsia="en-GB"/>
        </w:rPr>
        <w:t xml:space="preserve"> and issue a decision on the same. The decision of the Authority, together with the reasons thereof, shall be in writing and communicated to the operator within </w:t>
      </w:r>
      <w:r w:rsidR="005D1B23">
        <w:rPr>
          <w:rFonts w:ascii="Rockwell" w:hAnsi="Rockwell" w:cs="Rockwell"/>
          <w:sz w:val="24"/>
          <w:szCs w:val="24"/>
          <w:lang w:eastAsia="en-GB"/>
        </w:rPr>
        <w:t>sixty (60) days</w:t>
      </w:r>
      <w:r>
        <w:rPr>
          <w:rFonts w:ascii="Rockwell" w:hAnsi="Rockwell" w:cs="Rockwell"/>
          <w:sz w:val="24"/>
          <w:szCs w:val="24"/>
          <w:lang w:eastAsia="en-GB"/>
        </w:rPr>
        <w:t xml:space="preserve"> from the date of submission of the Plan.</w:t>
      </w:r>
    </w:p>
    <w:p w:rsidR="00CE5995" w:rsidRDefault="00CE5995">
      <w:pPr>
        <w:numPr>
          <w:ilvl w:val="255"/>
          <w:numId w:val="0"/>
        </w:numPr>
        <w:autoSpaceDE w:val="0"/>
        <w:autoSpaceDN w:val="0"/>
        <w:adjustRightInd w:val="0"/>
        <w:spacing w:line="360" w:lineRule="auto"/>
        <w:jc w:val="both"/>
        <w:rPr>
          <w:rFonts w:ascii="Rockwell" w:hAnsi="Rockwell" w:cs="Rockwell"/>
          <w:sz w:val="24"/>
          <w:szCs w:val="24"/>
          <w:lang w:eastAsia="en-GB"/>
        </w:rPr>
      </w:pPr>
    </w:p>
    <w:p w:rsidR="00CE5995" w:rsidRDefault="00D37047" w:rsidP="00893BEF">
      <w:pPr>
        <w:autoSpaceDE w:val="0"/>
        <w:autoSpaceDN w:val="0"/>
        <w:adjustRightInd w:val="0"/>
        <w:spacing w:line="360" w:lineRule="auto"/>
        <w:jc w:val="both"/>
        <w:rPr>
          <w:rFonts w:ascii="Rockwell" w:hAnsi="Rockwell" w:cs="Rockwell"/>
          <w:sz w:val="24"/>
          <w:szCs w:val="24"/>
          <w:lang w:eastAsia="en-GB"/>
        </w:rPr>
      </w:pPr>
      <w:r>
        <w:rPr>
          <w:rFonts w:ascii="Rockwell" w:hAnsi="Rockwell" w:cs="Rockwell"/>
          <w:sz w:val="24"/>
          <w:szCs w:val="24"/>
          <w:lang w:eastAsia="en-GB"/>
        </w:rPr>
        <w:t xml:space="preserve">Where the Authority is satisfied with the content of the Plan, the Authority shall issue an approval with terms and conditions, as may be appropriate. If the Authority is not satisfied with the adequacy or reliability of information stated in the Plan, the Authority may request for additional information to enable it make an informed decision. </w:t>
      </w:r>
    </w:p>
    <w:p w:rsidR="00402EF9" w:rsidRDefault="00402EF9" w:rsidP="00893BEF">
      <w:pPr>
        <w:autoSpaceDE w:val="0"/>
        <w:autoSpaceDN w:val="0"/>
        <w:adjustRightInd w:val="0"/>
        <w:spacing w:line="360" w:lineRule="auto"/>
        <w:jc w:val="both"/>
        <w:rPr>
          <w:rFonts w:ascii="Rockwell" w:hAnsi="Rockwell" w:cs="Rockwell"/>
          <w:sz w:val="24"/>
          <w:szCs w:val="24"/>
          <w:lang w:eastAsia="en-GB"/>
        </w:rPr>
      </w:pPr>
    </w:p>
    <w:p w:rsidR="00402EF9" w:rsidRDefault="00402EF9" w:rsidP="00893BEF">
      <w:pPr>
        <w:autoSpaceDE w:val="0"/>
        <w:autoSpaceDN w:val="0"/>
        <w:adjustRightInd w:val="0"/>
        <w:spacing w:line="360" w:lineRule="auto"/>
        <w:jc w:val="both"/>
        <w:rPr>
          <w:rFonts w:ascii="Rockwell" w:hAnsi="Rockwell" w:cs="Rockwell"/>
          <w:b/>
          <w:sz w:val="24"/>
          <w:szCs w:val="24"/>
          <w:lang w:eastAsia="en-GB"/>
        </w:rPr>
      </w:pPr>
      <w:r w:rsidRPr="00402EF9">
        <w:rPr>
          <w:rFonts w:ascii="Rockwell" w:hAnsi="Rockwell" w:cs="Rockwell"/>
          <w:b/>
          <w:sz w:val="24"/>
          <w:szCs w:val="24"/>
          <w:lang w:eastAsia="en-GB"/>
        </w:rPr>
        <w:t xml:space="preserve">REFERENCES </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National Environment Policy, sessional paper no 10 of 2013</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Mining and Minerals Policy, sessional paper no 7 of 2016</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E</w:t>
      </w:r>
      <w:r>
        <w:rPr>
          <w:rFonts w:ascii="Rockwell" w:hAnsi="Rockwell" w:cs="Rockwell"/>
          <w:sz w:val="24"/>
          <w:szCs w:val="24"/>
          <w:lang w:eastAsia="en-GB"/>
        </w:rPr>
        <w:t xml:space="preserve">nvironmental </w:t>
      </w:r>
      <w:r w:rsidRPr="008659EB">
        <w:rPr>
          <w:rFonts w:ascii="Rockwell" w:hAnsi="Rockwell" w:cs="Rockwell"/>
          <w:sz w:val="24"/>
          <w:szCs w:val="24"/>
          <w:lang w:eastAsia="en-GB"/>
        </w:rPr>
        <w:t>M</w:t>
      </w:r>
      <w:r>
        <w:rPr>
          <w:rFonts w:ascii="Rockwell" w:hAnsi="Rockwell" w:cs="Rockwell"/>
          <w:sz w:val="24"/>
          <w:szCs w:val="24"/>
          <w:lang w:eastAsia="en-GB"/>
        </w:rPr>
        <w:t xml:space="preserve">anagement </w:t>
      </w:r>
      <w:r w:rsidRPr="008659EB">
        <w:rPr>
          <w:rFonts w:ascii="Rockwell" w:hAnsi="Rockwell" w:cs="Rockwell"/>
          <w:sz w:val="24"/>
          <w:szCs w:val="24"/>
          <w:lang w:eastAsia="en-GB"/>
        </w:rPr>
        <w:t>C</w:t>
      </w:r>
      <w:r>
        <w:rPr>
          <w:rFonts w:ascii="Rockwell" w:hAnsi="Rockwell" w:cs="Rockwell"/>
          <w:sz w:val="24"/>
          <w:szCs w:val="24"/>
          <w:lang w:eastAsia="en-GB"/>
        </w:rPr>
        <w:t xml:space="preserve">oordination </w:t>
      </w:r>
      <w:r w:rsidRPr="008659EB">
        <w:rPr>
          <w:rFonts w:ascii="Rockwell" w:hAnsi="Rockwell" w:cs="Rockwell"/>
          <w:sz w:val="24"/>
          <w:szCs w:val="24"/>
          <w:lang w:eastAsia="en-GB"/>
        </w:rPr>
        <w:t>A</w:t>
      </w:r>
      <w:r>
        <w:rPr>
          <w:rFonts w:ascii="Rockwell" w:hAnsi="Rockwell" w:cs="Rockwell"/>
          <w:sz w:val="24"/>
          <w:szCs w:val="24"/>
          <w:lang w:eastAsia="en-GB"/>
        </w:rPr>
        <w:t>ct</w:t>
      </w:r>
      <w:r w:rsidRPr="008659EB">
        <w:rPr>
          <w:rFonts w:ascii="Rockwell" w:hAnsi="Rockwell" w:cs="Rockwell"/>
          <w:sz w:val="24"/>
          <w:szCs w:val="24"/>
          <w:lang w:eastAsia="en-GB"/>
        </w:rPr>
        <w:t>, 1999</w:t>
      </w:r>
    </w:p>
    <w:p w:rsidR="008659EB" w:rsidRPr="008659EB" w:rsidRDefault="00F93BBD" w:rsidP="008659EB">
      <w:pPr>
        <w:autoSpaceDE w:val="0"/>
        <w:autoSpaceDN w:val="0"/>
        <w:adjustRightInd w:val="0"/>
        <w:spacing w:line="360" w:lineRule="auto"/>
        <w:jc w:val="both"/>
        <w:rPr>
          <w:rFonts w:ascii="Rockwell" w:hAnsi="Rockwell" w:cs="Rockwell"/>
          <w:sz w:val="24"/>
          <w:szCs w:val="24"/>
          <w:lang w:eastAsia="en-GB"/>
        </w:rPr>
      </w:pPr>
      <w:r>
        <w:rPr>
          <w:rFonts w:ascii="Rockwell" w:hAnsi="Rockwell" w:cs="Rockwell"/>
          <w:sz w:val="24"/>
          <w:szCs w:val="24"/>
          <w:lang w:eastAsia="en-GB"/>
        </w:rPr>
        <w:t xml:space="preserve">Mining Act, </w:t>
      </w:r>
      <w:r w:rsidR="008659EB" w:rsidRPr="008659EB">
        <w:rPr>
          <w:rFonts w:ascii="Rockwell" w:hAnsi="Rockwell" w:cs="Rockwell"/>
          <w:sz w:val="24"/>
          <w:szCs w:val="24"/>
          <w:lang w:eastAsia="en-GB"/>
        </w:rPr>
        <w:t>2016</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O</w:t>
      </w:r>
      <w:r>
        <w:rPr>
          <w:rFonts w:ascii="Rockwell" w:hAnsi="Rockwell" w:cs="Rockwell"/>
          <w:sz w:val="24"/>
          <w:szCs w:val="24"/>
          <w:lang w:eastAsia="en-GB"/>
        </w:rPr>
        <w:t xml:space="preserve">ccupational </w:t>
      </w:r>
      <w:r w:rsidRPr="008659EB">
        <w:rPr>
          <w:rFonts w:ascii="Rockwell" w:hAnsi="Rockwell" w:cs="Rockwell"/>
          <w:sz w:val="24"/>
          <w:szCs w:val="24"/>
          <w:lang w:eastAsia="en-GB"/>
        </w:rPr>
        <w:t>S</w:t>
      </w:r>
      <w:r>
        <w:rPr>
          <w:rFonts w:ascii="Rockwell" w:hAnsi="Rockwell" w:cs="Rockwell"/>
          <w:sz w:val="24"/>
          <w:szCs w:val="24"/>
          <w:lang w:eastAsia="en-GB"/>
        </w:rPr>
        <w:t xml:space="preserve">afety and </w:t>
      </w:r>
      <w:r w:rsidRPr="008659EB">
        <w:rPr>
          <w:rFonts w:ascii="Rockwell" w:hAnsi="Rockwell" w:cs="Rockwell"/>
          <w:sz w:val="24"/>
          <w:szCs w:val="24"/>
          <w:lang w:eastAsia="en-GB"/>
        </w:rPr>
        <w:t>H</w:t>
      </w:r>
      <w:r>
        <w:rPr>
          <w:rFonts w:ascii="Rockwell" w:hAnsi="Rockwell" w:cs="Rockwell"/>
          <w:sz w:val="24"/>
          <w:szCs w:val="24"/>
          <w:lang w:eastAsia="en-GB"/>
        </w:rPr>
        <w:t xml:space="preserve">ealth </w:t>
      </w:r>
      <w:r w:rsidRPr="008659EB">
        <w:rPr>
          <w:rFonts w:ascii="Rockwell" w:hAnsi="Rockwell" w:cs="Rockwell"/>
          <w:sz w:val="24"/>
          <w:szCs w:val="24"/>
          <w:lang w:eastAsia="en-GB"/>
        </w:rPr>
        <w:t>A</w:t>
      </w:r>
      <w:r>
        <w:rPr>
          <w:rFonts w:ascii="Rockwell" w:hAnsi="Rockwell" w:cs="Rockwell"/>
          <w:sz w:val="24"/>
          <w:szCs w:val="24"/>
          <w:lang w:eastAsia="en-GB"/>
        </w:rPr>
        <w:t>ct</w:t>
      </w:r>
      <w:r w:rsidR="00F93BBD">
        <w:rPr>
          <w:rFonts w:ascii="Rockwell" w:hAnsi="Rockwell" w:cs="Rockwell"/>
          <w:sz w:val="24"/>
          <w:szCs w:val="24"/>
          <w:lang w:eastAsia="en-GB"/>
        </w:rPr>
        <w:t xml:space="preserve">, </w:t>
      </w:r>
      <w:r w:rsidRPr="008659EB">
        <w:rPr>
          <w:rFonts w:ascii="Rockwell" w:hAnsi="Rockwell" w:cs="Rockwell"/>
          <w:sz w:val="24"/>
          <w:szCs w:val="24"/>
          <w:lang w:eastAsia="en-GB"/>
        </w:rPr>
        <w:t>2007</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Explosives Act, Cap 115</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Work Injury Benefits Act, 2007</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Employment Act, 2007</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Land Act, 2012</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Environment and Land Court Act, No. 19 of 2011</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Community Land Act</w:t>
      </w:r>
      <w:r>
        <w:rPr>
          <w:rFonts w:ascii="Rockwell" w:hAnsi="Rockwell" w:cs="Rockwell"/>
          <w:sz w:val="24"/>
          <w:szCs w:val="24"/>
          <w:lang w:eastAsia="en-GB"/>
        </w:rPr>
        <w:t>, 2016</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Water Act, 2016</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Physical and Land Use Planning Act No. 3 of 2019</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Forest Conservation &amp; Management Act, 2016</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Wildli</w:t>
      </w:r>
      <w:r>
        <w:rPr>
          <w:rFonts w:ascii="Rockwell" w:hAnsi="Rockwell" w:cs="Rockwell"/>
          <w:sz w:val="24"/>
          <w:szCs w:val="24"/>
          <w:lang w:eastAsia="en-GB"/>
        </w:rPr>
        <w:t xml:space="preserve">fe Conservation and Management </w:t>
      </w:r>
      <w:r w:rsidRPr="008659EB">
        <w:rPr>
          <w:rFonts w:ascii="Rockwell" w:hAnsi="Rockwell" w:cs="Rockwell"/>
          <w:sz w:val="24"/>
          <w:szCs w:val="24"/>
          <w:lang w:eastAsia="en-GB"/>
        </w:rPr>
        <w:t>Act, 2013</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National Land Commission Act, 2012</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County Government Act, 2012</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Public Health Act</w:t>
      </w:r>
      <w:r>
        <w:rPr>
          <w:rFonts w:ascii="Rockwell" w:hAnsi="Rockwell" w:cs="Rockwell"/>
          <w:sz w:val="24"/>
          <w:szCs w:val="24"/>
          <w:lang w:eastAsia="en-GB"/>
        </w:rPr>
        <w:t>, Cap 242</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Kenya National Commission on Human Rights Act, 2011</w:t>
      </w:r>
    </w:p>
    <w:p w:rsidR="008659EB" w:rsidRPr="008659EB" w:rsidRDefault="008659EB" w:rsidP="008659EB">
      <w:pPr>
        <w:autoSpaceDE w:val="0"/>
        <w:autoSpaceDN w:val="0"/>
        <w:adjustRightInd w:val="0"/>
        <w:spacing w:line="360" w:lineRule="auto"/>
        <w:jc w:val="both"/>
        <w:rPr>
          <w:rFonts w:ascii="Rockwell" w:hAnsi="Rockwell" w:cs="Rockwell"/>
          <w:sz w:val="24"/>
          <w:szCs w:val="24"/>
          <w:lang w:eastAsia="en-GB"/>
        </w:rPr>
      </w:pPr>
      <w:r w:rsidRPr="008659EB">
        <w:rPr>
          <w:rFonts w:ascii="Rockwell" w:hAnsi="Rockwell" w:cs="Rockwell"/>
          <w:sz w:val="24"/>
          <w:szCs w:val="24"/>
          <w:lang w:eastAsia="en-GB"/>
        </w:rPr>
        <w:t>Climate Change Act, 2016</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Pr>
          <w:rFonts w:ascii="Rockwell" w:hAnsi="Rockwell" w:cs="Rockwell"/>
          <w:sz w:val="24"/>
          <w:szCs w:val="24"/>
          <w:lang w:eastAsia="en-GB"/>
        </w:rPr>
        <w:t xml:space="preserve">Environmental </w:t>
      </w:r>
      <w:r w:rsidRPr="00402EF9">
        <w:rPr>
          <w:rFonts w:ascii="Rockwell" w:hAnsi="Rockwell" w:cs="Rockwell"/>
          <w:sz w:val="24"/>
          <w:szCs w:val="24"/>
          <w:lang w:eastAsia="en-GB"/>
        </w:rPr>
        <w:t>(Impact Assessment and Audit) Regulations, 2003</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Environmental Management and Coordination (Waste Management) Regulations, 2006</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Environmental Management and Coordination (Noise &amp; Excessive Vibrations) Regulations, 2009</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Environmental Management and Coordination (Water Quality) Regulations, 2006</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Environmental Management and Coordination (Air Quality) Regulations, 2014</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Environmental Management and Coordination (Conservation of Biological Diversity and resources, access to genetic resources and benefit sharing) resources, 2006</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(Work Programmes and Exploration Reports) Guideline,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(Licence and Permit)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(Dealings in Minerals)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(Community Development Agreement)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(Strategic Minerals)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(Mine Support Services)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Mining (Award of Mineral Rights by Tender)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Community land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Physical and Land Use Planning (Development permission and control) (gen</w:t>
      </w:r>
      <w:r w:rsidR="00F93BBD">
        <w:rPr>
          <w:rFonts w:ascii="Rockwell" w:hAnsi="Rockwell" w:cs="Rockwell"/>
          <w:sz w:val="24"/>
          <w:szCs w:val="24"/>
          <w:lang w:eastAsia="en-GB"/>
        </w:rPr>
        <w:t xml:space="preserve">eral) Regulations, </w:t>
      </w:r>
      <w:r w:rsidRPr="00402EF9">
        <w:rPr>
          <w:rFonts w:ascii="Rockwell" w:hAnsi="Rockwell" w:cs="Rockwell"/>
          <w:sz w:val="24"/>
          <w:szCs w:val="24"/>
          <w:lang w:eastAsia="en-GB"/>
        </w:rPr>
        <w:t>2021</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Wildlife Conservation and Management (Protection of Endangered and threatened ecosystems, habitat and species)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Wildlife Conservation and Management (Joint Management of Protected Water Towers) Regulations, 2017</w:t>
      </w:r>
    </w:p>
    <w:p w:rsidR="00402EF9" w:rsidRPr="00402EF9" w:rsidRDefault="00402EF9" w:rsidP="00402EF9">
      <w:pPr>
        <w:autoSpaceDE w:val="0"/>
        <w:autoSpaceDN w:val="0"/>
        <w:adjustRightInd w:val="0"/>
        <w:spacing w:line="360" w:lineRule="auto"/>
        <w:jc w:val="both"/>
        <w:rPr>
          <w:rFonts w:ascii="Rockwell" w:hAnsi="Rockwell" w:cs="Rockwell"/>
          <w:sz w:val="24"/>
          <w:szCs w:val="24"/>
          <w:lang w:eastAsia="en-GB"/>
        </w:rPr>
      </w:pPr>
      <w:r w:rsidRPr="00402EF9">
        <w:rPr>
          <w:rFonts w:ascii="Rockwell" w:hAnsi="Rockwell" w:cs="Rockwell"/>
          <w:sz w:val="24"/>
          <w:szCs w:val="24"/>
          <w:lang w:eastAsia="en-GB"/>
        </w:rPr>
        <w:t>National Land Commission (Review of Grants and Dispositions of Public Land) Regulations, 2017</w:t>
      </w:r>
    </w:p>
    <w:p w:rsidR="00402EF9" w:rsidRPr="00402EF9" w:rsidRDefault="00402EF9" w:rsidP="00402EF9">
      <w:pPr>
        <w:autoSpaceDE w:val="0"/>
        <w:autoSpaceDN w:val="0"/>
        <w:adjustRightInd w:val="0"/>
        <w:spacing w:line="360" w:lineRule="auto"/>
        <w:jc w:val="both"/>
        <w:rPr>
          <w:rFonts w:ascii="Rockwell" w:hAnsi="Rockwell" w:cs="Rockwell"/>
          <w:b/>
          <w:sz w:val="24"/>
          <w:szCs w:val="24"/>
          <w:lang w:eastAsia="en-GB"/>
        </w:rPr>
      </w:pPr>
    </w:p>
    <w:p w:rsidR="00402EF9" w:rsidRPr="00402EF9" w:rsidRDefault="00402EF9" w:rsidP="00402EF9">
      <w:pPr>
        <w:autoSpaceDE w:val="0"/>
        <w:autoSpaceDN w:val="0"/>
        <w:adjustRightInd w:val="0"/>
        <w:spacing w:line="360" w:lineRule="auto"/>
        <w:jc w:val="both"/>
        <w:rPr>
          <w:rFonts w:ascii="Rockwell" w:hAnsi="Rockwell" w:cs="Rockwell"/>
          <w:b/>
          <w:sz w:val="24"/>
          <w:szCs w:val="24"/>
          <w:lang w:eastAsia="en-GB"/>
        </w:rPr>
      </w:pPr>
    </w:p>
    <w:p w:rsidR="00402EF9" w:rsidRPr="00402EF9" w:rsidRDefault="00402EF9" w:rsidP="00402EF9">
      <w:pPr>
        <w:autoSpaceDE w:val="0"/>
        <w:autoSpaceDN w:val="0"/>
        <w:adjustRightInd w:val="0"/>
        <w:spacing w:line="360" w:lineRule="auto"/>
        <w:jc w:val="both"/>
        <w:rPr>
          <w:rFonts w:ascii="Rockwell" w:hAnsi="Rockwell" w:cs="Rockwell"/>
          <w:b/>
          <w:sz w:val="24"/>
          <w:szCs w:val="24"/>
          <w:lang w:eastAsia="en-GB"/>
        </w:rPr>
      </w:pPr>
    </w:p>
    <w:p w:rsidR="00402EF9" w:rsidRDefault="00402EF9" w:rsidP="00893BEF">
      <w:pPr>
        <w:autoSpaceDE w:val="0"/>
        <w:autoSpaceDN w:val="0"/>
        <w:adjustRightInd w:val="0"/>
        <w:spacing w:line="360" w:lineRule="auto"/>
        <w:jc w:val="both"/>
        <w:rPr>
          <w:rFonts w:ascii="Rockwell" w:hAnsi="Rockwell" w:cs="Rockwell"/>
          <w:b/>
          <w:sz w:val="24"/>
          <w:szCs w:val="24"/>
          <w:lang w:eastAsia="en-GB"/>
        </w:rPr>
      </w:pPr>
    </w:p>
    <w:p w:rsidR="00402EF9" w:rsidRPr="00402EF9" w:rsidRDefault="00402EF9" w:rsidP="00893BEF">
      <w:pPr>
        <w:autoSpaceDE w:val="0"/>
        <w:autoSpaceDN w:val="0"/>
        <w:adjustRightInd w:val="0"/>
        <w:spacing w:line="360" w:lineRule="auto"/>
        <w:jc w:val="both"/>
        <w:rPr>
          <w:rFonts w:ascii="Rockwell" w:hAnsi="Rockwell" w:cs="Rockwell"/>
          <w:b/>
          <w:sz w:val="24"/>
          <w:szCs w:val="24"/>
        </w:rPr>
      </w:pPr>
    </w:p>
    <w:sectPr w:rsidR="00402EF9" w:rsidRPr="00402EF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D7E" w:rsidRDefault="007C5D7E">
      <w:r>
        <w:separator/>
      </w:r>
    </w:p>
  </w:endnote>
  <w:endnote w:type="continuationSeparator" w:id="0">
    <w:p w:rsidR="007C5D7E" w:rsidRDefault="007C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D7E" w:rsidRDefault="007C5D7E">
      <w:r>
        <w:separator/>
      </w:r>
    </w:p>
  </w:footnote>
  <w:footnote w:type="continuationSeparator" w:id="0">
    <w:p w:rsidR="007C5D7E" w:rsidRDefault="007C5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FED698"/>
    <w:multiLevelType w:val="multilevel"/>
    <w:tmpl w:val="9FC491DC"/>
    <w:lvl w:ilvl="0">
      <w:start w:val="1"/>
      <w:numFmt w:val="lowerRoman"/>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E2FDD394"/>
    <w:multiLevelType w:val="singleLevel"/>
    <w:tmpl w:val="E2FDD39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4E95AC3"/>
    <w:multiLevelType w:val="singleLevel"/>
    <w:tmpl w:val="F4E95AC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10A0972"/>
    <w:multiLevelType w:val="multilevel"/>
    <w:tmpl w:val="010A0972"/>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041F5B5D"/>
    <w:multiLevelType w:val="multilevel"/>
    <w:tmpl w:val="58BC8DA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56A5979"/>
    <w:multiLevelType w:val="hybridMultilevel"/>
    <w:tmpl w:val="9E4A20CA"/>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6DF9E0"/>
    <w:multiLevelType w:val="singleLevel"/>
    <w:tmpl w:val="0D6DF9E0"/>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13DD26DB"/>
    <w:multiLevelType w:val="hybridMultilevel"/>
    <w:tmpl w:val="93466748"/>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71D90B"/>
    <w:multiLevelType w:val="singleLevel"/>
    <w:tmpl w:val="1471D90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14DA2E20"/>
    <w:multiLevelType w:val="multilevel"/>
    <w:tmpl w:val="9FC491DC"/>
    <w:lvl w:ilvl="0">
      <w:start w:val="1"/>
      <w:numFmt w:val="lowerRoman"/>
      <w:lvlText w:val="(%1)."/>
      <w:lvlJc w:val="left"/>
      <w:pPr>
        <w:tabs>
          <w:tab w:val="left" w:pos="420"/>
        </w:tabs>
        <w:ind w:left="4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16265AC9"/>
    <w:multiLevelType w:val="hybridMultilevel"/>
    <w:tmpl w:val="24AE862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7C47A80"/>
    <w:multiLevelType w:val="multilevel"/>
    <w:tmpl w:val="C76E669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8F07024"/>
    <w:multiLevelType w:val="hybridMultilevel"/>
    <w:tmpl w:val="B71AE92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071B72"/>
    <w:multiLevelType w:val="hybridMultilevel"/>
    <w:tmpl w:val="5008DC78"/>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061205"/>
    <w:multiLevelType w:val="hybridMultilevel"/>
    <w:tmpl w:val="02467300"/>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DF073F"/>
    <w:multiLevelType w:val="hybridMultilevel"/>
    <w:tmpl w:val="222E9C5C"/>
    <w:lvl w:ilvl="0" w:tplc="EFC62EF2">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CC0614"/>
    <w:multiLevelType w:val="hybridMultilevel"/>
    <w:tmpl w:val="B70CE6E6"/>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946D6A"/>
    <w:multiLevelType w:val="multilevel"/>
    <w:tmpl w:val="42946D6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4444362E"/>
    <w:multiLevelType w:val="hybridMultilevel"/>
    <w:tmpl w:val="A5A64EF6"/>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3A105B"/>
    <w:multiLevelType w:val="multilevel"/>
    <w:tmpl w:val="453A105B"/>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323640"/>
    <w:multiLevelType w:val="hybridMultilevel"/>
    <w:tmpl w:val="000AC96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783291"/>
    <w:multiLevelType w:val="hybridMultilevel"/>
    <w:tmpl w:val="30FE009C"/>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564297"/>
    <w:multiLevelType w:val="hybridMultilevel"/>
    <w:tmpl w:val="C21C221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6A96A11"/>
    <w:multiLevelType w:val="hybridMultilevel"/>
    <w:tmpl w:val="C58ADAB4"/>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268D38"/>
    <w:multiLevelType w:val="singleLevel"/>
    <w:tmpl w:val="5E268D38"/>
    <w:lvl w:ilvl="0">
      <w:start w:val="1"/>
      <w:numFmt w:val="bullet"/>
      <w:lvlText w:val=""/>
      <w:lvlJc w:val="left"/>
      <w:pPr>
        <w:tabs>
          <w:tab w:val="left" w:pos="420"/>
        </w:tabs>
        <w:ind w:left="420" w:hanging="420"/>
      </w:pPr>
      <w:rPr>
        <w:rFonts w:ascii="Wingdings" w:hAnsi="Wingdings" w:hint="default"/>
      </w:rPr>
    </w:lvl>
  </w:abstractNum>
  <w:abstractNum w:abstractNumId="25" w15:restartNumberingAfterBreak="0">
    <w:nsid w:val="62466AB6"/>
    <w:multiLevelType w:val="multilevel"/>
    <w:tmpl w:val="2B5CBC42"/>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92746C"/>
    <w:multiLevelType w:val="hybridMultilevel"/>
    <w:tmpl w:val="4E98B2F2"/>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A8D684B"/>
    <w:multiLevelType w:val="singleLevel"/>
    <w:tmpl w:val="6A8D684B"/>
    <w:lvl w:ilvl="0">
      <w:start w:val="1"/>
      <w:numFmt w:val="lowerRoman"/>
      <w:lvlText w:val="%1."/>
      <w:lvlJc w:val="left"/>
      <w:pPr>
        <w:tabs>
          <w:tab w:val="left" w:pos="425"/>
        </w:tabs>
        <w:ind w:left="425" w:hanging="425"/>
      </w:pPr>
      <w:rPr>
        <w:rFonts w:hint="default"/>
      </w:rPr>
    </w:lvl>
  </w:abstractNum>
  <w:abstractNum w:abstractNumId="28" w15:restartNumberingAfterBreak="0">
    <w:nsid w:val="70715C3C"/>
    <w:multiLevelType w:val="singleLevel"/>
    <w:tmpl w:val="70715C3C"/>
    <w:lvl w:ilvl="0">
      <w:start w:val="1"/>
      <w:numFmt w:val="bullet"/>
      <w:lvlText w:val=""/>
      <w:lvlJc w:val="left"/>
      <w:pPr>
        <w:tabs>
          <w:tab w:val="left" w:pos="420"/>
        </w:tabs>
        <w:ind w:left="420" w:hanging="420"/>
      </w:pPr>
      <w:rPr>
        <w:rFonts w:ascii="Wingdings" w:hAnsi="Wingdings" w:hint="default"/>
      </w:rPr>
    </w:lvl>
  </w:abstractNum>
  <w:abstractNum w:abstractNumId="29" w15:restartNumberingAfterBreak="0">
    <w:nsid w:val="71B1581C"/>
    <w:multiLevelType w:val="hybridMultilevel"/>
    <w:tmpl w:val="DDC67F50"/>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61E2CC1"/>
    <w:multiLevelType w:val="hybridMultilevel"/>
    <w:tmpl w:val="96663E4A"/>
    <w:lvl w:ilvl="0" w:tplc="A0AA1C76">
      <w:start w:val="1"/>
      <w:numFmt w:val="lowerRoman"/>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31" w15:restartNumberingAfterBreak="0">
    <w:nsid w:val="799D56F6"/>
    <w:multiLevelType w:val="hybridMultilevel"/>
    <w:tmpl w:val="A684961E"/>
    <w:lvl w:ilvl="0" w:tplc="F41A35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3"/>
  </w:num>
  <w:num w:numId="3">
    <w:abstractNumId w:val="19"/>
  </w:num>
  <w:num w:numId="4">
    <w:abstractNumId w:val="1"/>
  </w:num>
  <w:num w:numId="5">
    <w:abstractNumId w:val="6"/>
  </w:num>
  <w:num w:numId="6">
    <w:abstractNumId w:val="2"/>
  </w:num>
  <w:num w:numId="7">
    <w:abstractNumId w:val="8"/>
  </w:num>
  <w:num w:numId="8">
    <w:abstractNumId w:val="27"/>
  </w:num>
  <w:num w:numId="9">
    <w:abstractNumId w:val="24"/>
  </w:num>
  <w:num w:numId="10">
    <w:abstractNumId w:val="0"/>
  </w:num>
  <w:num w:numId="11">
    <w:abstractNumId w:val="17"/>
  </w:num>
  <w:num w:numId="12">
    <w:abstractNumId w:val="28"/>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5"/>
  </w:num>
  <w:num w:numId="16">
    <w:abstractNumId w:val="12"/>
  </w:num>
  <w:num w:numId="17">
    <w:abstractNumId w:val="16"/>
  </w:num>
  <w:num w:numId="18">
    <w:abstractNumId w:val="10"/>
  </w:num>
  <w:num w:numId="19">
    <w:abstractNumId w:val="31"/>
  </w:num>
  <w:num w:numId="20">
    <w:abstractNumId w:val="22"/>
  </w:num>
  <w:num w:numId="21">
    <w:abstractNumId w:val="7"/>
  </w:num>
  <w:num w:numId="22">
    <w:abstractNumId w:val="15"/>
  </w:num>
  <w:num w:numId="23">
    <w:abstractNumId w:val="14"/>
  </w:num>
  <w:num w:numId="24">
    <w:abstractNumId w:val="13"/>
  </w:num>
  <w:num w:numId="25">
    <w:abstractNumId w:val="20"/>
  </w:num>
  <w:num w:numId="26">
    <w:abstractNumId w:val="23"/>
  </w:num>
  <w:num w:numId="27">
    <w:abstractNumId w:val="29"/>
  </w:num>
  <w:num w:numId="28">
    <w:abstractNumId w:val="21"/>
  </w:num>
  <w:num w:numId="29">
    <w:abstractNumId w:val="26"/>
  </w:num>
  <w:num w:numId="30">
    <w:abstractNumId w:val="18"/>
  </w:num>
  <w:num w:numId="31">
    <w:abstractNumId w:val="9"/>
  </w:num>
  <w:num w:numId="32">
    <w:abstractNumId w:val="25"/>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5B"/>
    <w:rsid w:val="000111AC"/>
    <w:rsid w:val="00011603"/>
    <w:rsid w:val="0002421B"/>
    <w:rsid w:val="00026B18"/>
    <w:rsid w:val="0004495B"/>
    <w:rsid w:val="0005273E"/>
    <w:rsid w:val="00055E63"/>
    <w:rsid w:val="00060D18"/>
    <w:rsid w:val="00070BAF"/>
    <w:rsid w:val="00073371"/>
    <w:rsid w:val="00073596"/>
    <w:rsid w:val="00083F4B"/>
    <w:rsid w:val="00090CE5"/>
    <w:rsid w:val="00094CC0"/>
    <w:rsid w:val="000A426A"/>
    <w:rsid w:val="000B24AD"/>
    <w:rsid w:val="000C3B17"/>
    <w:rsid w:val="001326A7"/>
    <w:rsid w:val="0015246B"/>
    <w:rsid w:val="00165F4E"/>
    <w:rsid w:val="00166FEE"/>
    <w:rsid w:val="001743CB"/>
    <w:rsid w:val="00197AFF"/>
    <w:rsid w:val="001A0608"/>
    <w:rsid w:val="001A0C87"/>
    <w:rsid w:val="001A11D7"/>
    <w:rsid w:val="001A1FC0"/>
    <w:rsid w:val="001A6076"/>
    <w:rsid w:val="001B087F"/>
    <w:rsid w:val="001C2FAA"/>
    <w:rsid w:val="001E067F"/>
    <w:rsid w:val="001E16EF"/>
    <w:rsid w:val="001F0E87"/>
    <w:rsid w:val="001F49C0"/>
    <w:rsid w:val="002013E9"/>
    <w:rsid w:val="002026A7"/>
    <w:rsid w:val="00247710"/>
    <w:rsid w:val="00253ABB"/>
    <w:rsid w:val="002543B5"/>
    <w:rsid w:val="00280F9F"/>
    <w:rsid w:val="00281187"/>
    <w:rsid w:val="002944FC"/>
    <w:rsid w:val="002A56BC"/>
    <w:rsid w:val="002B14C0"/>
    <w:rsid w:val="002B7DE7"/>
    <w:rsid w:val="002F6A18"/>
    <w:rsid w:val="00313495"/>
    <w:rsid w:val="003171FD"/>
    <w:rsid w:val="00326C68"/>
    <w:rsid w:val="0036747A"/>
    <w:rsid w:val="00373504"/>
    <w:rsid w:val="00391E3A"/>
    <w:rsid w:val="003C62D9"/>
    <w:rsid w:val="003E0453"/>
    <w:rsid w:val="00400DD7"/>
    <w:rsid w:val="00402EF9"/>
    <w:rsid w:val="00420D0B"/>
    <w:rsid w:val="00433847"/>
    <w:rsid w:val="00450743"/>
    <w:rsid w:val="0046246F"/>
    <w:rsid w:val="00464DB7"/>
    <w:rsid w:val="004750A5"/>
    <w:rsid w:val="004831E0"/>
    <w:rsid w:val="004930DF"/>
    <w:rsid w:val="004A5474"/>
    <w:rsid w:val="004D466C"/>
    <w:rsid w:val="004D7143"/>
    <w:rsid w:val="005001B4"/>
    <w:rsid w:val="0052152E"/>
    <w:rsid w:val="00522833"/>
    <w:rsid w:val="005321E4"/>
    <w:rsid w:val="00555DAF"/>
    <w:rsid w:val="005560E0"/>
    <w:rsid w:val="005611FF"/>
    <w:rsid w:val="00571D2D"/>
    <w:rsid w:val="00581C13"/>
    <w:rsid w:val="005865EC"/>
    <w:rsid w:val="005A5D27"/>
    <w:rsid w:val="005A5FB0"/>
    <w:rsid w:val="005B3268"/>
    <w:rsid w:val="005D1B23"/>
    <w:rsid w:val="005E1D36"/>
    <w:rsid w:val="00600950"/>
    <w:rsid w:val="0066074B"/>
    <w:rsid w:val="00671E67"/>
    <w:rsid w:val="00694E51"/>
    <w:rsid w:val="006A6CC2"/>
    <w:rsid w:val="006B16CC"/>
    <w:rsid w:val="006B6F41"/>
    <w:rsid w:val="006E58A2"/>
    <w:rsid w:val="006F0EBD"/>
    <w:rsid w:val="006F547B"/>
    <w:rsid w:val="00701FF0"/>
    <w:rsid w:val="00706F65"/>
    <w:rsid w:val="00707464"/>
    <w:rsid w:val="00727C11"/>
    <w:rsid w:val="00757A0E"/>
    <w:rsid w:val="00760626"/>
    <w:rsid w:val="007608E8"/>
    <w:rsid w:val="0077158C"/>
    <w:rsid w:val="007805D5"/>
    <w:rsid w:val="007830BE"/>
    <w:rsid w:val="007B421F"/>
    <w:rsid w:val="007C0156"/>
    <w:rsid w:val="007C5D7E"/>
    <w:rsid w:val="007E483B"/>
    <w:rsid w:val="007E4B50"/>
    <w:rsid w:val="007F106D"/>
    <w:rsid w:val="00807FAE"/>
    <w:rsid w:val="00813766"/>
    <w:rsid w:val="0081491E"/>
    <w:rsid w:val="008329EF"/>
    <w:rsid w:val="00835D45"/>
    <w:rsid w:val="008659EB"/>
    <w:rsid w:val="00893BEF"/>
    <w:rsid w:val="00894BD1"/>
    <w:rsid w:val="008A76D3"/>
    <w:rsid w:val="008C0EB1"/>
    <w:rsid w:val="008C54FF"/>
    <w:rsid w:val="008C5CF8"/>
    <w:rsid w:val="008E70A5"/>
    <w:rsid w:val="009310A3"/>
    <w:rsid w:val="0093249C"/>
    <w:rsid w:val="00932F16"/>
    <w:rsid w:val="00945BC8"/>
    <w:rsid w:val="00951B47"/>
    <w:rsid w:val="00967F0B"/>
    <w:rsid w:val="00983629"/>
    <w:rsid w:val="00993527"/>
    <w:rsid w:val="00996FD9"/>
    <w:rsid w:val="009A1544"/>
    <w:rsid w:val="009A1F24"/>
    <w:rsid w:val="009A2432"/>
    <w:rsid w:val="009B3B91"/>
    <w:rsid w:val="009C21B8"/>
    <w:rsid w:val="009C3C61"/>
    <w:rsid w:val="009D1566"/>
    <w:rsid w:val="009D70CA"/>
    <w:rsid w:val="009E19FA"/>
    <w:rsid w:val="00A017DA"/>
    <w:rsid w:val="00A251F0"/>
    <w:rsid w:val="00A27C20"/>
    <w:rsid w:val="00A34787"/>
    <w:rsid w:val="00A42DD6"/>
    <w:rsid w:val="00A67268"/>
    <w:rsid w:val="00A85EE4"/>
    <w:rsid w:val="00A92CCE"/>
    <w:rsid w:val="00AA3357"/>
    <w:rsid w:val="00AB59E8"/>
    <w:rsid w:val="00AB795B"/>
    <w:rsid w:val="00AD7B83"/>
    <w:rsid w:val="00B12381"/>
    <w:rsid w:val="00B27DF0"/>
    <w:rsid w:val="00B330FD"/>
    <w:rsid w:val="00B57582"/>
    <w:rsid w:val="00B57C11"/>
    <w:rsid w:val="00B73578"/>
    <w:rsid w:val="00B80571"/>
    <w:rsid w:val="00B8544E"/>
    <w:rsid w:val="00B85BAF"/>
    <w:rsid w:val="00B977CA"/>
    <w:rsid w:val="00BA51F9"/>
    <w:rsid w:val="00BA55A8"/>
    <w:rsid w:val="00BA6E0E"/>
    <w:rsid w:val="00BB42DC"/>
    <w:rsid w:val="00BC1C32"/>
    <w:rsid w:val="00BE2ACC"/>
    <w:rsid w:val="00BF0E5D"/>
    <w:rsid w:val="00C0132F"/>
    <w:rsid w:val="00C05EFB"/>
    <w:rsid w:val="00C10ED0"/>
    <w:rsid w:val="00C1300D"/>
    <w:rsid w:val="00C251C0"/>
    <w:rsid w:val="00C27F93"/>
    <w:rsid w:val="00C311CF"/>
    <w:rsid w:val="00C5538C"/>
    <w:rsid w:val="00C569B7"/>
    <w:rsid w:val="00C61AE5"/>
    <w:rsid w:val="00C66878"/>
    <w:rsid w:val="00CD625E"/>
    <w:rsid w:val="00CE3F54"/>
    <w:rsid w:val="00CE5995"/>
    <w:rsid w:val="00D223B5"/>
    <w:rsid w:val="00D23F61"/>
    <w:rsid w:val="00D355FB"/>
    <w:rsid w:val="00D37047"/>
    <w:rsid w:val="00D77CB0"/>
    <w:rsid w:val="00D85828"/>
    <w:rsid w:val="00DA0CE6"/>
    <w:rsid w:val="00DA5A32"/>
    <w:rsid w:val="00DA7175"/>
    <w:rsid w:val="00DA77E7"/>
    <w:rsid w:val="00DB1CB6"/>
    <w:rsid w:val="00DC3D56"/>
    <w:rsid w:val="00DF04DE"/>
    <w:rsid w:val="00E0152C"/>
    <w:rsid w:val="00E06204"/>
    <w:rsid w:val="00E201D6"/>
    <w:rsid w:val="00E33C5A"/>
    <w:rsid w:val="00E34EBE"/>
    <w:rsid w:val="00E6230F"/>
    <w:rsid w:val="00E86B44"/>
    <w:rsid w:val="00E86FA0"/>
    <w:rsid w:val="00EA37AB"/>
    <w:rsid w:val="00EC21CB"/>
    <w:rsid w:val="00ED4475"/>
    <w:rsid w:val="00EF5B81"/>
    <w:rsid w:val="00F01DC5"/>
    <w:rsid w:val="00F022E4"/>
    <w:rsid w:val="00F04001"/>
    <w:rsid w:val="00F91551"/>
    <w:rsid w:val="00F93BBD"/>
    <w:rsid w:val="00FA0C94"/>
    <w:rsid w:val="00FB3C2D"/>
    <w:rsid w:val="00FD2E5D"/>
    <w:rsid w:val="00FE018F"/>
    <w:rsid w:val="00FE0649"/>
    <w:rsid w:val="00FE4826"/>
    <w:rsid w:val="00FE7C96"/>
    <w:rsid w:val="01042731"/>
    <w:rsid w:val="01AF3F46"/>
    <w:rsid w:val="01D23AC2"/>
    <w:rsid w:val="03190E04"/>
    <w:rsid w:val="03A85738"/>
    <w:rsid w:val="03D15EEF"/>
    <w:rsid w:val="03E0349F"/>
    <w:rsid w:val="051D5F06"/>
    <w:rsid w:val="05377ED2"/>
    <w:rsid w:val="058640DC"/>
    <w:rsid w:val="05DB7C4B"/>
    <w:rsid w:val="065F527B"/>
    <w:rsid w:val="06A46DDF"/>
    <w:rsid w:val="07435669"/>
    <w:rsid w:val="077C77C8"/>
    <w:rsid w:val="07943CB4"/>
    <w:rsid w:val="07CE5838"/>
    <w:rsid w:val="07F35020"/>
    <w:rsid w:val="08847194"/>
    <w:rsid w:val="089A1A93"/>
    <w:rsid w:val="08CF6F06"/>
    <w:rsid w:val="0926296F"/>
    <w:rsid w:val="0972136E"/>
    <w:rsid w:val="09870609"/>
    <w:rsid w:val="0AEA06A7"/>
    <w:rsid w:val="0AF3249D"/>
    <w:rsid w:val="0B862E89"/>
    <w:rsid w:val="0B91705F"/>
    <w:rsid w:val="0BA36FC8"/>
    <w:rsid w:val="0BCD605B"/>
    <w:rsid w:val="0C0323B6"/>
    <w:rsid w:val="0C8635FB"/>
    <w:rsid w:val="0CAC2B20"/>
    <w:rsid w:val="0D8307BF"/>
    <w:rsid w:val="0DE6745D"/>
    <w:rsid w:val="0E236DEF"/>
    <w:rsid w:val="0E4A7512"/>
    <w:rsid w:val="0E531803"/>
    <w:rsid w:val="0E74573B"/>
    <w:rsid w:val="0EDB65CA"/>
    <w:rsid w:val="0EF57E9B"/>
    <w:rsid w:val="0F1C1833"/>
    <w:rsid w:val="0F7D6568"/>
    <w:rsid w:val="0F9A66CA"/>
    <w:rsid w:val="0FCD5660"/>
    <w:rsid w:val="10464BFD"/>
    <w:rsid w:val="10B96AE0"/>
    <w:rsid w:val="12016CD2"/>
    <w:rsid w:val="13DE07BD"/>
    <w:rsid w:val="13E875F2"/>
    <w:rsid w:val="14443876"/>
    <w:rsid w:val="15085DEA"/>
    <w:rsid w:val="153E0728"/>
    <w:rsid w:val="15760854"/>
    <w:rsid w:val="15790752"/>
    <w:rsid w:val="15B11EEB"/>
    <w:rsid w:val="15D81F8F"/>
    <w:rsid w:val="16F31CBB"/>
    <w:rsid w:val="17D83BB9"/>
    <w:rsid w:val="17E14228"/>
    <w:rsid w:val="18484FD1"/>
    <w:rsid w:val="18F970B4"/>
    <w:rsid w:val="191B250A"/>
    <w:rsid w:val="19523EF8"/>
    <w:rsid w:val="1976353A"/>
    <w:rsid w:val="199503EE"/>
    <w:rsid w:val="19DE00AD"/>
    <w:rsid w:val="1A8B09A8"/>
    <w:rsid w:val="1AC01A5C"/>
    <w:rsid w:val="1B4728E9"/>
    <w:rsid w:val="1B6D5497"/>
    <w:rsid w:val="1B8E263F"/>
    <w:rsid w:val="1BAD4C66"/>
    <w:rsid w:val="1BE46741"/>
    <w:rsid w:val="1C2748F8"/>
    <w:rsid w:val="1C307F96"/>
    <w:rsid w:val="1C8A5A3B"/>
    <w:rsid w:val="1CDA6834"/>
    <w:rsid w:val="1D694E2C"/>
    <w:rsid w:val="1DFE0871"/>
    <w:rsid w:val="1E3144A5"/>
    <w:rsid w:val="1E920D02"/>
    <w:rsid w:val="1E944552"/>
    <w:rsid w:val="1ED074E5"/>
    <w:rsid w:val="1F3844EB"/>
    <w:rsid w:val="1FFF5C59"/>
    <w:rsid w:val="200F24CA"/>
    <w:rsid w:val="20793282"/>
    <w:rsid w:val="221452A9"/>
    <w:rsid w:val="221C6D4C"/>
    <w:rsid w:val="22903B44"/>
    <w:rsid w:val="23255827"/>
    <w:rsid w:val="2378757E"/>
    <w:rsid w:val="23B8100B"/>
    <w:rsid w:val="23DC4E1E"/>
    <w:rsid w:val="24174EFF"/>
    <w:rsid w:val="24406568"/>
    <w:rsid w:val="246423A0"/>
    <w:rsid w:val="24AD2DFD"/>
    <w:rsid w:val="24E30771"/>
    <w:rsid w:val="252F0C60"/>
    <w:rsid w:val="25906F57"/>
    <w:rsid w:val="25A46AD2"/>
    <w:rsid w:val="25AB502D"/>
    <w:rsid w:val="26374116"/>
    <w:rsid w:val="265D1270"/>
    <w:rsid w:val="265D2107"/>
    <w:rsid w:val="26880813"/>
    <w:rsid w:val="26E8078E"/>
    <w:rsid w:val="272E020D"/>
    <w:rsid w:val="279F34C6"/>
    <w:rsid w:val="27AA308F"/>
    <w:rsid w:val="27EA5501"/>
    <w:rsid w:val="287F6389"/>
    <w:rsid w:val="294E3A25"/>
    <w:rsid w:val="29683612"/>
    <w:rsid w:val="29855F0D"/>
    <w:rsid w:val="2A6E6656"/>
    <w:rsid w:val="2AB91516"/>
    <w:rsid w:val="2AE870FA"/>
    <w:rsid w:val="2BC835E7"/>
    <w:rsid w:val="2BEB2C3E"/>
    <w:rsid w:val="2CD66739"/>
    <w:rsid w:val="2D6B61CF"/>
    <w:rsid w:val="2DC12073"/>
    <w:rsid w:val="2EEA721C"/>
    <w:rsid w:val="2EFF5156"/>
    <w:rsid w:val="2F6A6770"/>
    <w:rsid w:val="2FA53563"/>
    <w:rsid w:val="30063729"/>
    <w:rsid w:val="30602507"/>
    <w:rsid w:val="306F1AB8"/>
    <w:rsid w:val="30846EDE"/>
    <w:rsid w:val="310B7683"/>
    <w:rsid w:val="311E0BDD"/>
    <w:rsid w:val="31266974"/>
    <w:rsid w:val="31524F93"/>
    <w:rsid w:val="31633C5D"/>
    <w:rsid w:val="31B10C2F"/>
    <w:rsid w:val="31C80EFC"/>
    <w:rsid w:val="329E2CC7"/>
    <w:rsid w:val="32A8121E"/>
    <w:rsid w:val="32E77B29"/>
    <w:rsid w:val="32FE591C"/>
    <w:rsid w:val="334700EE"/>
    <w:rsid w:val="33503F1E"/>
    <w:rsid w:val="33806EB2"/>
    <w:rsid w:val="33A2131E"/>
    <w:rsid w:val="340A616C"/>
    <w:rsid w:val="3419138A"/>
    <w:rsid w:val="351507A6"/>
    <w:rsid w:val="35266E93"/>
    <w:rsid w:val="35D5676C"/>
    <w:rsid w:val="36024294"/>
    <w:rsid w:val="37AE7792"/>
    <w:rsid w:val="37D20B48"/>
    <w:rsid w:val="381254E8"/>
    <w:rsid w:val="3825671C"/>
    <w:rsid w:val="38DE58B1"/>
    <w:rsid w:val="39235FEF"/>
    <w:rsid w:val="3A264768"/>
    <w:rsid w:val="3A966B08"/>
    <w:rsid w:val="3AAA7DF2"/>
    <w:rsid w:val="3AC7156E"/>
    <w:rsid w:val="3AC93023"/>
    <w:rsid w:val="3AD12D8B"/>
    <w:rsid w:val="3AF3232E"/>
    <w:rsid w:val="3CDC537D"/>
    <w:rsid w:val="3CFB0C91"/>
    <w:rsid w:val="3E266A63"/>
    <w:rsid w:val="3FEF4416"/>
    <w:rsid w:val="404F65CE"/>
    <w:rsid w:val="40604992"/>
    <w:rsid w:val="40851649"/>
    <w:rsid w:val="40EB7059"/>
    <w:rsid w:val="4239257D"/>
    <w:rsid w:val="42B47B83"/>
    <w:rsid w:val="42D019FF"/>
    <w:rsid w:val="43B96A5E"/>
    <w:rsid w:val="43BB57B2"/>
    <w:rsid w:val="43C42C28"/>
    <w:rsid w:val="43D33889"/>
    <w:rsid w:val="444E7292"/>
    <w:rsid w:val="44B01986"/>
    <w:rsid w:val="461C3AD6"/>
    <w:rsid w:val="46344D28"/>
    <w:rsid w:val="4709668B"/>
    <w:rsid w:val="47191978"/>
    <w:rsid w:val="47EB7D60"/>
    <w:rsid w:val="48454C5C"/>
    <w:rsid w:val="484C0B0B"/>
    <w:rsid w:val="487C04F1"/>
    <w:rsid w:val="48AE1619"/>
    <w:rsid w:val="497B15DE"/>
    <w:rsid w:val="499842D8"/>
    <w:rsid w:val="4A2029CB"/>
    <w:rsid w:val="4A77379A"/>
    <w:rsid w:val="4AC94BCB"/>
    <w:rsid w:val="4BA201AF"/>
    <w:rsid w:val="4BFA153E"/>
    <w:rsid w:val="4CAD731F"/>
    <w:rsid w:val="4CE85696"/>
    <w:rsid w:val="4D8471FC"/>
    <w:rsid w:val="4DDE5E01"/>
    <w:rsid w:val="4E310991"/>
    <w:rsid w:val="4ECE245C"/>
    <w:rsid w:val="4EFE5222"/>
    <w:rsid w:val="505A2187"/>
    <w:rsid w:val="50D44666"/>
    <w:rsid w:val="51022D70"/>
    <w:rsid w:val="52022ECC"/>
    <w:rsid w:val="523E1F2F"/>
    <w:rsid w:val="52616265"/>
    <w:rsid w:val="52DB35F2"/>
    <w:rsid w:val="533F5B2D"/>
    <w:rsid w:val="53497F67"/>
    <w:rsid w:val="5362185C"/>
    <w:rsid w:val="53991EB2"/>
    <w:rsid w:val="53E94D04"/>
    <w:rsid w:val="542C245F"/>
    <w:rsid w:val="548476E2"/>
    <w:rsid w:val="54C96310"/>
    <w:rsid w:val="554159D6"/>
    <w:rsid w:val="55696452"/>
    <w:rsid w:val="55711D64"/>
    <w:rsid w:val="557637D5"/>
    <w:rsid w:val="55BC6B2F"/>
    <w:rsid w:val="56174405"/>
    <w:rsid w:val="56B72197"/>
    <w:rsid w:val="57DD37B2"/>
    <w:rsid w:val="58C75AEF"/>
    <w:rsid w:val="59AC405F"/>
    <w:rsid w:val="59F275D2"/>
    <w:rsid w:val="5A3D6517"/>
    <w:rsid w:val="5A52342F"/>
    <w:rsid w:val="5A8D6ABB"/>
    <w:rsid w:val="5AD5261E"/>
    <w:rsid w:val="5B086176"/>
    <w:rsid w:val="5B5F5126"/>
    <w:rsid w:val="5B923002"/>
    <w:rsid w:val="5BAE74B8"/>
    <w:rsid w:val="5BEC0C22"/>
    <w:rsid w:val="5BFE3C16"/>
    <w:rsid w:val="5C633122"/>
    <w:rsid w:val="5C9F4FD1"/>
    <w:rsid w:val="5CAB0CB2"/>
    <w:rsid w:val="5CC13D62"/>
    <w:rsid w:val="5CFB1B2E"/>
    <w:rsid w:val="5CFC22DC"/>
    <w:rsid w:val="5D004017"/>
    <w:rsid w:val="5D9F440A"/>
    <w:rsid w:val="5DAD1260"/>
    <w:rsid w:val="5DCA4860"/>
    <w:rsid w:val="5DE17F1E"/>
    <w:rsid w:val="5F2726EE"/>
    <w:rsid w:val="5F406E2A"/>
    <w:rsid w:val="5FA869A0"/>
    <w:rsid w:val="600D6CF8"/>
    <w:rsid w:val="605A7DE0"/>
    <w:rsid w:val="60C77A47"/>
    <w:rsid w:val="619C4A84"/>
    <w:rsid w:val="61F731C3"/>
    <w:rsid w:val="620351C2"/>
    <w:rsid w:val="62546D7A"/>
    <w:rsid w:val="626D013A"/>
    <w:rsid w:val="62B6538B"/>
    <w:rsid w:val="6308531A"/>
    <w:rsid w:val="63B74DA1"/>
    <w:rsid w:val="64322FBC"/>
    <w:rsid w:val="648C17C2"/>
    <w:rsid w:val="64E60C6D"/>
    <w:rsid w:val="652F240B"/>
    <w:rsid w:val="65CC5B78"/>
    <w:rsid w:val="65DD5747"/>
    <w:rsid w:val="661A74F6"/>
    <w:rsid w:val="66923C07"/>
    <w:rsid w:val="66FE7439"/>
    <w:rsid w:val="67393C0A"/>
    <w:rsid w:val="67602B51"/>
    <w:rsid w:val="677F5FC4"/>
    <w:rsid w:val="67B51E36"/>
    <w:rsid w:val="67E75322"/>
    <w:rsid w:val="686F58F0"/>
    <w:rsid w:val="68BB1999"/>
    <w:rsid w:val="68FB339A"/>
    <w:rsid w:val="696447D5"/>
    <w:rsid w:val="696B61A0"/>
    <w:rsid w:val="699A0700"/>
    <w:rsid w:val="6AA12E46"/>
    <w:rsid w:val="6AFE5354"/>
    <w:rsid w:val="6C565E66"/>
    <w:rsid w:val="6C582406"/>
    <w:rsid w:val="6C821A8A"/>
    <w:rsid w:val="6D45464E"/>
    <w:rsid w:val="6DB35F3F"/>
    <w:rsid w:val="6E0A4378"/>
    <w:rsid w:val="6E134537"/>
    <w:rsid w:val="6E1F0AA0"/>
    <w:rsid w:val="6E2A50B5"/>
    <w:rsid w:val="6E9A31DE"/>
    <w:rsid w:val="6EAB7312"/>
    <w:rsid w:val="6F750CF5"/>
    <w:rsid w:val="71685969"/>
    <w:rsid w:val="71E55F84"/>
    <w:rsid w:val="71FE43F9"/>
    <w:rsid w:val="722633EA"/>
    <w:rsid w:val="72890E58"/>
    <w:rsid w:val="728C22C0"/>
    <w:rsid w:val="739738D5"/>
    <w:rsid w:val="73DF48BB"/>
    <w:rsid w:val="73E40867"/>
    <w:rsid w:val="7439221D"/>
    <w:rsid w:val="74486626"/>
    <w:rsid w:val="745A0288"/>
    <w:rsid w:val="748652DD"/>
    <w:rsid w:val="74C654F5"/>
    <w:rsid w:val="74C80516"/>
    <w:rsid w:val="75DF5B69"/>
    <w:rsid w:val="75EC4A7A"/>
    <w:rsid w:val="761A44E6"/>
    <w:rsid w:val="766B0BEB"/>
    <w:rsid w:val="767F7521"/>
    <w:rsid w:val="76AC257F"/>
    <w:rsid w:val="76C53AE9"/>
    <w:rsid w:val="772E6266"/>
    <w:rsid w:val="77351154"/>
    <w:rsid w:val="775C0B7D"/>
    <w:rsid w:val="78016163"/>
    <w:rsid w:val="785C5CE2"/>
    <w:rsid w:val="789426D8"/>
    <w:rsid w:val="78BA19AB"/>
    <w:rsid w:val="793F609E"/>
    <w:rsid w:val="79640A8E"/>
    <w:rsid w:val="79661E5F"/>
    <w:rsid w:val="79D60B84"/>
    <w:rsid w:val="7A4E16F4"/>
    <w:rsid w:val="7A541BEB"/>
    <w:rsid w:val="7A820B58"/>
    <w:rsid w:val="7AE97C0C"/>
    <w:rsid w:val="7B025ABB"/>
    <w:rsid w:val="7B03320F"/>
    <w:rsid w:val="7B317A30"/>
    <w:rsid w:val="7B5353D8"/>
    <w:rsid w:val="7B7F382B"/>
    <w:rsid w:val="7C232B74"/>
    <w:rsid w:val="7D72414D"/>
    <w:rsid w:val="7DD72771"/>
    <w:rsid w:val="7DDC5F95"/>
    <w:rsid w:val="7EFC25EB"/>
    <w:rsid w:val="7F0B2A9D"/>
    <w:rsid w:val="7F9C7AE0"/>
    <w:rsid w:val="7FC02631"/>
    <w:rsid w:val="7FC03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93C1C00-0325-4231-BE33-11FADE27D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next w:val="Normal"/>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iPriority w:val="99"/>
    <w:unhideWhenUsed/>
    <w:qFormat/>
    <w:rPr>
      <w:sz w:val="20"/>
      <w:szCs w:val="20"/>
    </w:rPr>
  </w:style>
  <w:style w:type="paragraph" w:styleId="Footer">
    <w:name w:val="footer"/>
    <w:basedOn w:val="Normal"/>
    <w:link w:val="FooterChar"/>
    <w:uiPriority w:val="99"/>
    <w:unhideWhenUsed/>
    <w:qFormat/>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uiPriority w:val="99"/>
    <w:semiHidden/>
    <w:unhideWhenUsed/>
    <w:qForma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rFonts w:ascii="Calibri" w:eastAsia="Calibri" w:hAnsi="Calibri" w:cs="Times New Roman"/>
    </w:rPr>
  </w:style>
  <w:style w:type="character" w:customStyle="1" w:styleId="FooterChar">
    <w:name w:val="Footer Char"/>
    <w:basedOn w:val="DefaultParagraphFont"/>
    <w:link w:val="Footer"/>
    <w:uiPriority w:val="99"/>
    <w:qFormat/>
    <w:rPr>
      <w:rFonts w:ascii="Calibri" w:eastAsia="Calibri" w:hAnsi="Calibri" w:cs="Times New Roman"/>
    </w:rPr>
  </w:style>
  <w:style w:type="paragraph" w:customStyle="1" w:styleId="TOCHeading1">
    <w:name w:val="TOC Heading1"/>
    <w:basedOn w:val="Heading1"/>
    <w:next w:val="Normal"/>
    <w:uiPriority w:val="39"/>
    <w:unhideWhenUsed/>
    <w:qFormat/>
    <w:pPr>
      <w:outlineLvl w:val="9"/>
    </w:p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unhideWhenUsed/>
    <w:rsid w:val="00D77CB0"/>
    <w:rPr>
      <w:rFonts w:ascii="Tahoma" w:hAnsi="Tahoma" w:cs="Tahoma"/>
      <w:sz w:val="16"/>
      <w:szCs w:val="16"/>
    </w:rPr>
  </w:style>
  <w:style w:type="character" w:customStyle="1" w:styleId="BalloonTextChar">
    <w:name w:val="Balloon Text Char"/>
    <w:basedOn w:val="DefaultParagraphFont"/>
    <w:link w:val="BalloonText"/>
    <w:uiPriority w:val="99"/>
    <w:semiHidden/>
    <w:rsid w:val="00D77CB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206047">
      <w:bodyDiv w:val="1"/>
      <w:marLeft w:val="0"/>
      <w:marRight w:val="0"/>
      <w:marTop w:val="0"/>
      <w:marBottom w:val="0"/>
      <w:divBdr>
        <w:top w:val="none" w:sz="0" w:space="0" w:color="auto"/>
        <w:left w:val="none" w:sz="0" w:space="0" w:color="auto"/>
        <w:bottom w:val="none" w:sz="0" w:space="0" w:color="auto"/>
        <w:right w:val="none" w:sz="0" w:space="0" w:color="auto"/>
      </w:divBdr>
    </w:div>
    <w:div w:id="692077049">
      <w:bodyDiv w:val="1"/>
      <w:marLeft w:val="0"/>
      <w:marRight w:val="0"/>
      <w:marTop w:val="0"/>
      <w:marBottom w:val="0"/>
      <w:divBdr>
        <w:top w:val="none" w:sz="0" w:space="0" w:color="auto"/>
        <w:left w:val="none" w:sz="0" w:space="0" w:color="auto"/>
        <w:bottom w:val="none" w:sz="0" w:space="0" w:color="auto"/>
        <w:right w:val="none" w:sz="0" w:space="0" w:color="auto"/>
      </w:divBdr>
    </w:div>
    <w:div w:id="2077972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434E72-89DF-4052-BB3A-E08A9882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6927</Words>
  <Characters>39485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Oceanic N. Sakwa</dc:creator>
  <cp:lastModifiedBy>Lencer A. Obondo</cp:lastModifiedBy>
  <cp:revision>2</cp:revision>
  <dcterms:created xsi:type="dcterms:W3CDTF">2022-11-21T07:44:00Z</dcterms:created>
  <dcterms:modified xsi:type="dcterms:W3CDTF">2022-11-21T07:44:00Z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