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9E3" w:rsidRPr="004A76D7" w:rsidRDefault="008E29E3" w:rsidP="000E7DFC">
      <w:pPr>
        <w:spacing w:after="160"/>
        <w:jc w:val="both"/>
        <w:rPr>
          <w:rFonts w:ascii="Rockwell" w:eastAsia="Rockwell" w:hAnsi="Rockwell" w:cs="Rockwell"/>
          <w:b/>
          <w:sz w:val="24"/>
          <w:szCs w:val="24"/>
        </w:rPr>
      </w:pPr>
      <w:r w:rsidRPr="004A76D7">
        <w:rPr>
          <w:rFonts w:ascii="Rockwell" w:hAnsi="Rockwell"/>
          <w:noProof/>
          <w:sz w:val="24"/>
          <w:szCs w:val="24"/>
          <w:lang w:val="en-US"/>
        </w:rPr>
        <w:drawing>
          <wp:anchor distT="0" distB="0" distL="114300" distR="114300" simplePos="0" relativeHeight="251659264" behindDoc="0" locked="0" layoutInCell="1" hidden="0" allowOverlap="1" wp14:anchorId="184EDC6C" wp14:editId="246ACA5E">
            <wp:simplePos x="0" y="0"/>
            <wp:positionH relativeFrom="column">
              <wp:posOffset>4775200</wp:posOffset>
            </wp:positionH>
            <wp:positionV relativeFrom="paragraph">
              <wp:posOffset>104140</wp:posOffset>
            </wp:positionV>
            <wp:extent cx="1301750" cy="1332230"/>
            <wp:effectExtent l="0" t="0" r="0" b="1270"/>
            <wp:wrapSquare wrapText="bothSides" distT="0" distB="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301750" cy="1332230"/>
                    </a:xfrm>
                    <a:prstGeom prst="rect">
                      <a:avLst/>
                    </a:prstGeom>
                    <a:ln/>
                  </pic:spPr>
                </pic:pic>
              </a:graphicData>
            </a:graphic>
            <wp14:sizeRelH relativeFrom="margin">
              <wp14:pctWidth>0</wp14:pctWidth>
            </wp14:sizeRelH>
            <wp14:sizeRelV relativeFrom="margin">
              <wp14:pctHeight>0</wp14:pctHeight>
            </wp14:sizeRelV>
          </wp:anchor>
        </w:drawing>
      </w:r>
      <w:r w:rsidRPr="004A76D7">
        <w:rPr>
          <w:rFonts w:ascii="Rockwell" w:eastAsia="Times New Roman" w:hAnsi="Rockwell" w:cs="Times New Roman"/>
          <w:b/>
          <w:sz w:val="24"/>
          <w:szCs w:val="24"/>
        </w:rPr>
        <w:t xml:space="preserve">  </w:t>
      </w:r>
      <w:r w:rsidRPr="004A76D7">
        <w:rPr>
          <w:rFonts w:ascii="Rockwell" w:eastAsia="Rockwell" w:hAnsi="Rockwell" w:cs="Rockwell"/>
          <w:b/>
          <w:noProof/>
          <w:sz w:val="24"/>
          <w:szCs w:val="24"/>
          <w:lang w:val="en-US"/>
        </w:rPr>
        <w:drawing>
          <wp:inline distT="0" distB="0" distL="0" distR="0" wp14:anchorId="7F91B8C4" wp14:editId="146A23DA">
            <wp:extent cx="1524966" cy="1432995"/>
            <wp:effectExtent l="0" t="0" r="0" b="0"/>
            <wp:docPr id="6" name="image1.png" descr="C:\Users\marcie\Documents\Deposit Bonds\GOK Court of Arms.png"/>
            <wp:cNvGraphicFramePr/>
            <a:graphic xmlns:a="http://schemas.openxmlformats.org/drawingml/2006/main">
              <a:graphicData uri="http://schemas.openxmlformats.org/drawingml/2006/picture">
                <pic:pic xmlns:pic="http://schemas.openxmlformats.org/drawingml/2006/picture">
                  <pic:nvPicPr>
                    <pic:cNvPr id="0" name="image1.png" descr="C:\Users\marcie\Documents\Deposit Bonds\GOK Court of Arms.png"/>
                    <pic:cNvPicPr preferRelativeResize="0"/>
                  </pic:nvPicPr>
                  <pic:blipFill>
                    <a:blip r:embed="rId9"/>
                    <a:srcRect/>
                    <a:stretch>
                      <a:fillRect/>
                    </a:stretch>
                  </pic:blipFill>
                  <pic:spPr>
                    <a:xfrm>
                      <a:off x="0" y="0"/>
                      <a:ext cx="1524966" cy="1432995"/>
                    </a:xfrm>
                    <a:prstGeom prst="rect">
                      <a:avLst/>
                    </a:prstGeom>
                    <a:ln/>
                  </pic:spPr>
                </pic:pic>
              </a:graphicData>
            </a:graphic>
          </wp:inline>
        </w:drawing>
      </w:r>
      <w:r w:rsidRPr="004A76D7">
        <w:rPr>
          <w:rFonts w:ascii="Rockwell" w:eastAsia="Times New Roman" w:hAnsi="Rockwell" w:cs="Times New Roman"/>
          <w:b/>
          <w:sz w:val="24"/>
          <w:szCs w:val="24"/>
        </w:rPr>
        <w:t xml:space="preserve"> </w:t>
      </w:r>
      <w:r w:rsidRPr="004A76D7">
        <w:rPr>
          <w:rFonts w:ascii="Rockwell" w:eastAsia="Rockwell" w:hAnsi="Rockwell" w:cs="Rockwell"/>
          <w:b/>
          <w:noProof/>
          <w:sz w:val="24"/>
          <w:szCs w:val="24"/>
          <w:lang w:val="en-US"/>
        </w:rPr>
        <w:drawing>
          <wp:inline distT="114300" distB="114300" distL="114300" distR="114300" wp14:anchorId="46EE245B" wp14:editId="38F59FCF">
            <wp:extent cx="1214718" cy="1428115"/>
            <wp:effectExtent l="0" t="0" r="5080" b="63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241398" cy="1459482"/>
                    </a:xfrm>
                    <a:prstGeom prst="rect">
                      <a:avLst/>
                    </a:prstGeom>
                    <a:ln/>
                  </pic:spPr>
                </pic:pic>
              </a:graphicData>
            </a:graphic>
          </wp:inline>
        </w:drawing>
      </w:r>
      <w:r w:rsidRPr="004A76D7">
        <w:rPr>
          <w:rFonts w:ascii="Rockwell" w:eastAsia="Times New Roman" w:hAnsi="Rockwell" w:cs="Times New Roman"/>
          <w:b/>
          <w:sz w:val="24"/>
          <w:szCs w:val="24"/>
        </w:rPr>
        <w:t xml:space="preserve"> </w:t>
      </w:r>
      <w:r w:rsidRPr="004A76D7">
        <w:rPr>
          <w:rFonts w:ascii="Rockwell" w:hAnsi="Rockwell"/>
          <w:noProof/>
          <w:sz w:val="24"/>
          <w:szCs w:val="24"/>
          <w:lang w:val="en-US"/>
        </w:rPr>
        <w:drawing>
          <wp:inline distT="0" distB="0" distL="0" distR="0" wp14:anchorId="42009F7E" wp14:editId="2CF36FB4">
            <wp:extent cx="1506070" cy="1257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9843" cy="1294496"/>
                    </a:xfrm>
                    <a:prstGeom prst="rect">
                      <a:avLst/>
                    </a:prstGeom>
                    <a:noFill/>
                    <a:ln>
                      <a:noFill/>
                    </a:ln>
                  </pic:spPr>
                </pic:pic>
              </a:graphicData>
            </a:graphic>
          </wp:inline>
        </w:drawing>
      </w:r>
      <w:r w:rsidRPr="004A76D7">
        <w:rPr>
          <w:rFonts w:ascii="Rockwell" w:eastAsia="Rockwell" w:hAnsi="Rockwell" w:cs="Rockwell"/>
          <w:b/>
          <w:sz w:val="24"/>
          <w:szCs w:val="24"/>
        </w:rPr>
        <w:t xml:space="preserve">             </w:t>
      </w:r>
      <w:r w:rsidRPr="004A76D7">
        <w:rPr>
          <w:rFonts w:ascii="Rockwell" w:eastAsia="Rockwell" w:hAnsi="Rockwell" w:cs="Rockwell"/>
          <w:b/>
          <w:sz w:val="24"/>
          <w:szCs w:val="24"/>
        </w:rPr>
        <w:br/>
      </w:r>
    </w:p>
    <w:p w:rsidR="00AD5D8B" w:rsidRPr="004A76D7" w:rsidRDefault="008E29E3" w:rsidP="00D40664">
      <w:pPr>
        <w:spacing w:before="240" w:after="160"/>
        <w:jc w:val="center"/>
        <w:rPr>
          <w:rFonts w:ascii="Rockwell" w:eastAsia="Times New Roman" w:hAnsi="Rockwell" w:cs="Times New Roman"/>
          <w:b/>
          <w:sz w:val="24"/>
          <w:szCs w:val="24"/>
        </w:rPr>
      </w:pPr>
      <w:r w:rsidRPr="004A76D7">
        <w:rPr>
          <w:rFonts w:ascii="Rockwell" w:eastAsia="Times New Roman" w:hAnsi="Rockwell" w:cs="Times New Roman"/>
          <w:b/>
          <w:sz w:val="24"/>
          <w:szCs w:val="24"/>
        </w:rPr>
        <w:t>NATIONA</w:t>
      </w:r>
      <w:r w:rsidR="00C72023" w:rsidRPr="004A76D7">
        <w:rPr>
          <w:rFonts w:ascii="Rockwell" w:eastAsia="Times New Roman" w:hAnsi="Rockwell" w:cs="Times New Roman"/>
          <w:b/>
          <w:sz w:val="24"/>
          <w:szCs w:val="24"/>
        </w:rPr>
        <w:t>L GUIDELINES ON</w:t>
      </w:r>
      <w:r w:rsidRPr="004A76D7">
        <w:rPr>
          <w:rFonts w:ascii="Rockwell" w:eastAsia="Times New Roman" w:hAnsi="Rockwell" w:cs="Times New Roman"/>
          <w:b/>
          <w:sz w:val="24"/>
          <w:szCs w:val="24"/>
        </w:rPr>
        <w:t xml:space="preserve"> </w:t>
      </w:r>
      <w:r w:rsidR="00AD5D8B" w:rsidRPr="004A76D7">
        <w:rPr>
          <w:rFonts w:ascii="Rockwell" w:eastAsia="Times New Roman" w:hAnsi="Rockwell" w:cs="Times New Roman"/>
          <w:b/>
          <w:sz w:val="24"/>
          <w:szCs w:val="24"/>
        </w:rPr>
        <w:t>ENVIRONMENTAL DEPOSIT BONDS FOR THE MINING SECTOR IN KENYA</w:t>
      </w:r>
    </w:p>
    <w:p w:rsidR="006822F2" w:rsidRDefault="005B0F2A" w:rsidP="000E7DFC">
      <w:pPr>
        <w:spacing w:before="240" w:after="160"/>
        <w:jc w:val="both"/>
        <w:rPr>
          <w:rFonts w:ascii="Rockwell" w:eastAsia="Times New Roman" w:hAnsi="Rockwell" w:cs="Times New Roman"/>
          <w:b/>
          <w:sz w:val="24"/>
          <w:szCs w:val="24"/>
        </w:rPr>
      </w:pPr>
      <w:r>
        <w:rPr>
          <w:noProof/>
          <w:lang w:val="en-US"/>
        </w:rPr>
        <w:drawing>
          <wp:inline distT="0" distB="0" distL="0" distR="0" wp14:anchorId="34A74A13" wp14:editId="51EDFE16">
            <wp:extent cx="2401774" cy="1800249"/>
            <wp:effectExtent l="0" t="0" r="0" b="0"/>
            <wp:docPr id="7" name="Picture 7" descr="C:\Users\sokoth\Downloads\WhatsApp Image 2023-08-18 at 10.0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sokoth\Downloads\WhatsApp Image 2023-08-18 at 10.06.4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42430" cy="1830723"/>
                    </a:xfrm>
                    <a:prstGeom prst="rect">
                      <a:avLst/>
                    </a:prstGeom>
                    <a:noFill/>
                    <a:ln>
                      <a:noFill/>
                    </a:ln>
                  </pic:spPr>
                </pic:pic>
              </a:graphicData>
            </a:graphic>
          </wp:inline>
        </w:drawing>
      </w:r>
      <w:r w:rsidR="00420839">
        <w:rPr>
          <w:rFonts w:ascii="Rockwell" w:eastAsia="Times New Roman" w:hAnsi="Rockwell" w:cs="Times New Roman"/>
          <w:b/>
          <w:sz w:val="24"/>
          <w:szCs w:val="24"/>
        </w:rPr>
        <w:t xml:space="preserve">        </w:t>
      </w:r>
      <w:r w:rsidR="00420839">
        <w:rPr>
          <w:noProof/>
          <w:lang w:val="en-US"/>
        </w:rPr>
        <w:drawing>
          <wp:inline distT="0" distB="0" distL="0" distR="0" wp14:anchorId="6A42B8E0" wp14:editId="57A1000E">
            <wp:extent cx="2366682" cy="1774929"/>
            <wp:effectExtent l="0" t="0" r="0" b="0"/>
            <wp:docPr id="15" name="Picture 15" descr="C:\Users\Reagan\Downloads\WhatsApp Image 2023-08-22 at 09.5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Reagan\Downloads\WhatsApp Image 2023-08-22 at 09.59.2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88468" cy="1791268"/>
                    </a:xfrm>
                    <a:prstGeom prst="rect">
                      <a:avLst/>
                    </a:prstGeom>
                    <a:noFill/>
                    <a:ln>
                      <a:noFill/>
                    </a:ln>
                  </pic:spPr>
                </pic:pic>
              </a:graphicData>
            </a:graphic>
          </wp:inline>
        </w:drawing>
      </w:r>
    </w:p>
    <w:p w:rsidR="00420839" w:rsidRDefault="00420839" w:rsidP="000E7DFC">
      <w:pPr>
        <w:spacing w:before="240" w:after="160"/>
        <w:jc w:val="both"/>
        <w:rPr>
          <w:rFonts w:ascii="Rockwell" w:eastAsia="Times New Roman" w:hAnsi="Rockwell" w:cs="Times New Roman"/>
          <w:b/>
          <w:sz w:val="24"/>
          <w:szCs w:val="24"/>
        </w:rPr>
      </w:pPr>
      <w:r>
        <w:rPr>
          <w:noProof/>
          <w:lang w:val="en-US"/>
        </w:rPr>
        <w:drawing>
          <wp:inline distT="0" distB="0" distL="0" distR="0" wp14:anchorId="15DD8AC8" wp14:editId="7EB7227A">
            <wp:extent cx="2464435" cy="1642956"/>
            <wp:effectExtent l="0" t="0" r="0" b="0"/>
            <wp:docPr id="13" name="Picture 13" descr="C:\Users\Reagan\Downloads\WhatsApp Image 2023-08-18 at 15.4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Reagan\Downloads\WhatsApp Image 2023-08-18 at 15.43.4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02754" cy="1668502"/>
                    </a:xfrm>
                    <a:prstGeom prst="rect">
                      <a:avLst/>
                    </a:prstGeom>
                    <a:noFill/>
                    <a:ln>
                      <a:noFill/>
                    </a:ln>
                  </pic:spPr>
                </pic:pic>
              </a:graphicData>
            </a:graphic>
          </wp:inline>
        </w:drawing>
      </w:r>
      <w:r>
        <w:rPr>
          <w:rFonts w:ascii="Rockwell" w:eastAsia="Times New Roman" w:hAnsi="Rockwell" w:cs="Times New Roman"/>
          <w:b/>
          <w:sz w:val="24"/>
          <w:szCs w:val="24"/>
        </w:rPr>
        <w:t xml:space="preserve">    </w:t>
      </w:r>
      <w:r>
        <w:rPr>
          <w:noProof/>
          <w:lang w:val="en-US"/>
        </w:rPr>
        <w:drawing>
          <wp:inline distT="0" distB="0" distL="0" distR="0" wp14:anchorId="6220855A" wp14:editId="14A8AE35">
            <wp:extent cx="2405801" cy="1703039"/>
            <wp:effectExtent l="0" t="0" r="0"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l="23457" t="19398" r="22840" b="14452"/>
                    <a:stretch>
                      <a:fillRect/>
                    </a:stretch>
                  </pic:blipFill>
                  <pic:spPr>
                    <a:xfrm>
                      <a:off x="0" y="0"/>
                      <a:ext cx="2430057" cy="1720210"/>
                    </a:xfrm>
                    <a:prstGeom prst="rect">
                      <a:avLst/>
                    </a:prstGeom>
                    <a:noFill/>
                    <a:ln w="9525">
                      <a:noFill/>
                    </a:ln>
                  </pic:spPr>
                </pic:pic>
              </a:graphicData>
            </a:graphic>
          </wp:inline>
        </w:drawing>
      </w:r>
    </w:p>
    <w:p w:rsidR="00420839" w:rsidRDefault="00420839" w:rsidP="000E7DFC">
      <w:pPr>
        <w:spacing w:before="240" w:after="160"/>
        <w:jc w:val="both"/>
        <w:rPr>
          <w:rFonts w:ascii="Rockwell" w:eastAsia="Times New Roman" w:hAnsi="Rockwell" w:cs="Times New Roman"/>
          <w:b/>
          <w:sz w:val="24"/>
          <w:szCs w:val="24"/>
        </w:rPr>
      </w:pPr>
      <w:r>
        <w:rPr>
          <w:noProof/>
          <w:lang w:val="en-US"/>
        </w:rPr>
        <w:drawing>
          <wp:inline distT="0" distB="0" distL="0" distR="0" wp14:anchorId="7608FE92" wp14:editId="773601D6">
            <wp:extent cx="2406104" cy="180435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6" cstate="print"/>
                    <a:stretch>
                      <a:fillRect/>
                    </a:stretch>
                  </pic:blipFill>
                  <pic:spPr>
                    <a:xfrm>
                      <a:off x="0" y="0"/>
                      <a:ext cx="2424736" cy="1818322"/>
                    </a:xfrm>
                    <a:prstGeom prst="rect">
                      <a:avLst/>
                    </a:prstGeom>
                  </pic:spPr>
                </pic:pic>
              </a:graphicData>
            </a:graphic>
          </wp:inline>
        </w:drawing>
      </w:r>
      <w:r>
        <w:rPr>
          <w:rFonts w:ascii="Rockwell" w:eastAsia="Times New Roman" w:hAnsi="Rockwell" w:cs="Times New Roman"/>
          <w:b/>
          <w:sz w:val="24"/>
          <w:szCs w:val="24"/>
        </w:rPr>
        <w:t xml:space="preserve">      </w:t>
      </w:r>
      <w:r>
        <w:rPr>
          <w:noProof/>
          <w:lang w:val="en-US"/>
        </w:rPr>
        <w:drawing>
          <wp:inline distT="0" distB="0" distL="0" distR="0" wp14:anchorId="22DF82B7" wp14:editId="5339F69E">
            <wp:extent cx="2569328" cy="1762543"/>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7" cstate="print"/>
                    <a:srcRect/>
                    <a:stretch>
                      <a:fillRect/>
                    </a:stretch>
                  </pic:blipFill>
                  <pic:spPr>
                    <a:xfrm>
                      <a:off x="0" y="0"/>
                      <a:ext cx="2588551" cy="1775730"/>
                    </a:xfrm>
                    <a:prstGeom prst="rect">
                      <a:avLst/>
                    </a:prstGeom>
                    <a:ln>
                      <a:noFill/>
                    </a:ln>
                  </pic:spPr>
                </pic:pic>
              </a:graphicData>
            </a:graphic>
          </wp:inline>
        </w:drawing>
      </w:r>
    </w:p>
    <w:p w:rsidR="00420839" w:rsidRDefault="00420839" w:rsidP="000E7DFC">
      <w:pPr>
        <w:spacing w:before="240" w:after="160"/>
        <w:jc w:val="center"/>
        <w:rPr>
          <w:rFonts w:ascii="Rockwell" w:eastAsia="Times New Roman" w:hAnsi="Rockwell" w:cs="Times New Roman"/>
          <w:b/>
          <w:sz w:val="24"/>
          <w:szCs w:val="24"/>
        </w:rPr>
      </w:pPr>
    </w:p>
    <w:p w:rsidR="006822F2" w:rsidRPr="004A76D7" w:rsidRDefault="00575A84" w:rsidP="000E7DFC">
      <w:pPr>
        <w:spacing w:before="240" w:after="160"/>
        <w:jc w:val="center"/>
        <w:rPr>
          <w:rFonts w:ascii="Rockwell" w:eastAsia="Times New Roman" w:hAnsi="Rockwell" w:cs="Times New Roman"/>
          <w:b/>
          <w:sz w:val="24"/>
          <w:szCs w:val="24"/>
        </w:rPr>
      </w:pPr>
      <w:r>
        <w:rPr>
          <w:rFonts w:ascii="Rockwell" w:eastAsia="Times New Roman" w:hAnsi="Rockwell" w:cs="Times New Roman"/>
          <w:b/>
          <w:sz w:val="24"/>
          <w:szCs w:val="24"/>
        </w:rPr>
        <w:t>SEPTEMBER 2025</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p w:rsidR="006822F2" w:rsidRPr="00B636FF" w:rsidRDefault="00243ED1" w:rsidP="00B83909">
      <w:pPr>
        <w:spacing w:before="240" w:after="160"/>
        <w:jc w:val="both"/>
        <w:rPr>
          <w:rFonts w:ascii="Rockwell" w:eastAsia="Times New Roman" w:hAnsi="Rockwell" w:cs="Times New Roman"/>
          <w:b/>
          <w:sz w:val="24"/>
          <w:szCs w:val="24"/>
        </w:rPr>
      </w:pPr>
      <w:bookmarkStart w:id="0" w:name="_Toc209047089"/>
      <w:r w:rsidRPr="00B636FF">
        <w:rPr>
          <w:rFonts w:ascii="Rockwell" w:eastAsia="Times New Roman" w:hAnsi="Rockwell" w:cs="Times New Roman"/>
          <w:b/>
          <w:sz w:val="24"/>
          <w:szCs w:val="24"/>
        </w:rPr>
        <w:lastRenderedPageBreak/>
        <w:t>Executive Summary</w:t>
      </w:r>
      <w:bookmarkEnd w:id="0"/>
    </w:p>
    <w:p w:rsidR="00F17C6F" w:rsidRPr="00B636FF" w:rsidRDefault="00F17C6F" w:rsidP="00B636FF">
      <w:pPr>
        <w:spacing w:line="240" w:lineRule="auto"/>
        <w:jc w:val="both"/>
        <w:rPr>
          <w:rFonts w:ascii="Rockwell" w:eastAsia="Times New Roman" w:hAnsi="Rockwell" w:cs="Times New Roman"/>
          <w:b/>
          <w:color w:val="000000"/>
          <w:sz w:val="24"/>
          <w:szCs w:val="24"/>
          <w:lang w:val="en-US"/>
        </w:rPr>
      </w:pPr>
      <w:r w:rsidRPr="00B636FF">
        <w:rPr>
          <w:rFonts w:ascii="Rockwell" w:hAnsi="Rockwell"/>
          <w:sz w:val="24"/>
          <w:szCs w:val="24"/>
        </w:rPr>
        <w:t xml:space="preserve">Kenya’s mining sector is undergoing rapid expansion, with growing exploration and exploitation of diverse mineral resources across the country. While mining offers substantial opportunities for economic growth, employment creation, and industrial development, it also presents significant environmental </w:t>
      </w:r>
      <w:r w:rsidR="00FB6964" w:rsidRPr="00B636FF">
        <w:rPr>
          <w:rFonts w:ascii="Rockwell" w:hAnsi="Rockwell"/>
          <w:sz w:val="24"/>
          <w:szCs w:val="24"/>
        </w:rPr>
        <w:t xml:space="preserve">and social </w:t>
      </w:r>
      <w:r w:rsidRPr="00B636FF">
        <w:rPr>
          <w:rFonts w:ascii="Rockwell" w:hAnsi="Rockwell"/>
          <w:sz w:val="24"/>
          <w:szCs w:val="24"/>
        </w:rPr>
        <w:t>risks if not properly managed. To address these risks and ensure sustainable development, the Government of Kenya has developed the</w:t>
      </w:r>
      <w:r w:rsidRPr="00B636FF">
        <w:rPr>
          <w:rFonts w:ascii="Rockwell" w:hAnsi="Rockwell"/>
          <w:b/>
          <w:sz w:val="24"/>
          <w:szCs w:val="24"/>
        </w:rPr>
        <w:t xml:space="preserve"> </w:t>
      </w:r>
      <w:r w:rsidRPr="00B636FF">
        <w:rPr>
          <w:rStyle w:val="Strong"/>
          <w:rFonts w:ascii="Rockwell" w:hAnsi="Rockwell"/>
          <w:b w:val="0"/>
          <w:sz w:val="24"/>
          <w:szCs w:val="24"/>
        </w:rPr>
        <w:t>National Guidelines on Environmental Deposit Bonds for the Mining Sector</w:t>
      </w:r>
      <w:r w:rsidRPr="00B636FF">
        <w:rPr>
          <w:rFonts w:ascii="Rockwell" w:hAnsi="Rockwell"/>
          <w:b/>
          <w:sz w:val="24"/>
          <w:szCs w:val="24"/>
        </w:rPr>
        <w:t>.</w:t>
      </w:r>
    </w:p>
    <w:p w:rsidR="00F17C6F" w:rsidRPr="00B636FF" w:rsidRDefault="00F17C6F" w:rsidP="00B636FF">
      <w:pPr>
        <w:spacing w:line="240" w:lineRule="auto"/>
        <w:jc w:val="both"/>
        <w:rPr>
          <w:rFonts w:ascii="Rockwell" w:eastAsia="Times New Roman" w:hAnsi="Rockwell" w:cs="Times New Roman"/>
          <w:color w:val="000000"/>
          <w:sz w:val="24"/>
          <w:szCs w:val="24"/>
          <w:lang w:val="en-US"/>
        </w:rPr>
      </w:pPr>
    </w:p>
    <w:p w:rsidR="00FB6964" w:rsidRPr="00B636FF" w:rsidRDefault="00325A9B" w:rsidP="00B636FF">
      <w:pPr>
        <w:spacing w:line="240" w:lineRule="auto"/>
        <w:jc w:val="both"/>
        <w:rPr>
          <w:rFonts w:ascii="Rockwell" w:eastAsia="Times New Roman" w:hAnsi="Rockwell" w:cs="Times New Roman"/>
          <w:color w:val="000000"/>
          <w:sz w:val="24"/>
          <w:szCs w:val="24"/>
          <w:lang w:val="en-US"/>
        </w:rPr>
      </w:pPr>
      <w:r w:rsidRPr="00B636FF">
        <w:rPr>
          <w:rFonts w:ascii="Rockwell" w:eastAsia="Times New Roman" w:hAnsi="Rockwell" w:cs="Times New Roman"/>
          <w:color w:val="000000"/>
          <w:sz w:val="24"/>
          <w:szCs w:val="24"/>
          <w:lang w:val="en-US"/>
        </w:rPr>
        <w:t>Th</w:t>
      </w:r>
      <w:r w:rsidR="00FB6964" w:rsidRPr="00B636FF">
        <w:rPr>
          <w:rFonts w:ascii="Rockwell" w:eastAsia="Times New Roman" w:hAnsi="Rockwell" w:cs="Times New Roman"/>
          <w:color w:val="000000"/>
          <w:sz w:val="24"/>
          <w:szCs w:val="24"/>
          <w:lang w:val="en-US"/>
        </w:rPr>
        <w:t>e Guideline is divided into four</w:t>
      </w:r>
      <w:r w:rsidRPr="00B636FF">
        <w:rPr>
          <w:rFonts w:ascii="Rockwell" w:eastAsia="Times New Roman" w:hAnsi="Rockwell" w:cs="Times New Roman"/>
          <w:color w:val="000000"/>
          <w:sz w:val="24"/>
          <w:szCs w:val="24"/>
          <w:lang w:val="en-US"/>
        </w:rPr>
        <w:t xml:space="preserve"> chapters as outlined. </w:t>
      </w:r>
    </w:p>
    <w:p w:rsidR="00FB6964" w:rsidRPr="00B636FF" w:rsidRDefault="00FB6964" w:rsidP="00B636FF">
      <w:pPr>
        <w:spacing w:line="240" w:lineRule="auto"/>
        <w:jc w:val="both"/>
        <w:rPr>
          <w:rFonts w:ascii="Rockwell" w:eastAsia="Times New Roman" w:hAnsi="Rockwell" w:cs="Times New Roman"/>
          <w:color w:val="000000"/>
          <w:sz w:val="24"/>
          <w:szCs w:val="24"/>
          <w:lang w:val="en-US"/>
        </w:rPr>
      </w:pPr>
    </w:p>
    <w:p w:rsidR="00FB6964" w:rsidRPr="00B636FF" w:rsidRDefault="00325A9B" w:rsidP="00B636FF">
      <w:pPr>
        <w:spacing w:line="240" w:lineRule="auto"/>
        <w:jc w:val="both"/>
        <w:rPr>
          <w:rFonts w:ascii="Rockwell" w:eastAsia="Times New Roman" w:hAnsi="Rockwell" w:cs="Times New Roman"/>
          <w:color w:val="000000"/>
          <w:sz w:val="24"/>
          <w:szCs w:val="24"/>
          <w:lang w:val="en-US"/>
        </w:rPr>
      </w:pPr>
      <w:r w:rsidRPr="00B636FF">
        <w:rPr>
          <w:rFonts w:ascii="Rockwell" w:eastAsia="Times New Roman" w:hAnsi="Rockwell" w:cs="Times New Roman"/>
          <w:color w:val="000000"/>
          <w:sz w:val="24"/>
          <w:szCs w:val="24"/>
          <w:lang w:val="en-US"/>
        </w:rPr>
        <w:t xml:space="preserve">Chapter I gives a background </w:t>
      </w:r>
      <w:r w:rsidR="00B636FF" w:rsidRPr="00B636FF">
        <w:rPr>
          <w:rFonts w:ascii="Rockwell" w:eastAsia="Times New Roman" w:hAnsi="Rockwell" w:cs="Times New Roman"/>
          <w:color w:val="000000"/>
          <w:sz w:val="24"/>
          <w:szCs w:val="24"/>
          <w:lang w:val="en-US"/>
        </w:rPr>
        <w:t xml:space="preserve">information regarding </w:t>
      </w:r>
      <w:r w:rsidRPr="00B636FF">
        <w:rPr>
          <w:rFonts w:ascii="Rockwell" w:eastAsia="Times New Roman" w:hAnsi="Rockwell" w:cs="Times New Roman"/>
          <w:color w:val="000000"/>
          <w:sz w:val="24"/>
          <w:szCs w:val="24"/>
          <w:lang w:val="en-US"/>
        </w:rPr>
        <w:t xml:space="preserve">the mining sector in Kenya, </w:t>
      </w:r>
      <w:r w:rsidR="00B636FF" w:rsidRPr="00B636FF">
        <w:rPr>
          <w:rFonts w:ascii="Rockwell" w:eastAsia="Times New Roman" w:hAnsi="Rockwell" w:cs="Times New Roman"/>
          <w:color w:val="000000"/>
          <w:sz w:val="24"/>
          <w:szCs w:val="24"/>
          <w:lang w:val="en-US"/>
        </w:rPr>
        <w:t xml:space="preserve">rationale, </w:t>
      </w:r>
      <w:r w:rsidRPr="00B636FF">
        <w:rPr>
          <w:rFonts w:ascii="Rockwell" w:eastAsia="Times New Roman" w:hAnsi="Rockwell" w:cs="Times New Roman"/>
          <w:color w:val="000000"/>
          <w:sz w:val="24"/>
          <w:szCs w:val="24"/>
          <w:lang w:val="en-US"/>
        </w:rPr>
        <w:t>objective of the Guideline, scope</w:t>
      </w:r>
      <w:r w:rsidR="00B636FF" w:rsidRPr="00B636FF">
        <w:rPr>
          <w:rFonts w:ascii="Rockwell" w:eastAsia="Times New Roman" w:hAnsi="Rockwell" w:cs="Times New Roman"/>
          <w:color w:val="000000"/>
          <w:sz w:val="24"/>
          <w:szCs w:val="24"/>
          <w:lang w:val="en-US"/>
        </w:rPr>
        <w:t xml:space="preserve"> and review and update of the same</w:t>
      </w:r>
      <w:r w:rsidRPr="00B636FF">
        <w:rPr>
          <w:rFonts w:ascii="Rockwell" w:eastAsia="Times New Roman" w:hAnsi="Rockwell" w:cs="Times New Roman"/>
          <w:color w:val="000000"/>
          <w:sz w:val="24"/>
          <w:szCs w:val="24"/>
          <w:lang w:val="en-US"/>
        </w:rPr>
        <w:t xml:space="preserve">. </w:t>
      </w:r>
    </w:p>
    <w:p w:rsidR="00B636FF" w:rsidRPr="00B636FF" w:rsidRDefault="00B636FF" w:rsidP="00B636FF">
      <w:pPr>
        <w:spacing w:line="240" w:lineRule="auto"/>
        <w:jc w:val="both"/>
        <w:rPr>
          <w:rFonts w:ascii="Rockwell" w:eastAsia="Times New Roman" w:hAnsi="Rockwell" w:cs="Times New Roman"/>
          <w:color w:val="000000"/>
          <w:sz w:val="24"/>
          <w:szCs w:val="24"/>
          <w:lang w:val="en-US"/>
        </w:rPr>
      </w:pPr>
    </w:p>
    <w:p w:rsidR="00FB6964" w:rsidRPr="00B636FF" w:rsidRDefault="00325A9B" w:rsidP="00B636FF">
      <w:pPr>
        <w:spacing w:line="240" w:lineRule="auto"/>
        <w:jc w:val="both"/>
        <w:rPr>
          <w:rFonts w:ascii="Rockwell" w:eastAsia="Times New Roman" w:hAnsi="Rockwell" w:cs="Times New Roman"/>
          <w:color w:val="000000"/>
          <w:sz w:val="24"/>
          <w:szCs w:val="24"/>
          <w:lang w:val="en-US"/>
        </w:rPr>
      </w:pPr>
      <w:r w:rsidRPr="00B636FF">
        <w:rPr>
          <w:rFonts w:ascii="Rockwell" w:eastAsia="Times New Roman" w:hAnsi="Rockwell" w:cs="Times New Roman"/>
          <w:color w:val="000000"/>
          <w:sz w:val="24"/>
          <w:szCs w:val="24"/>
          <w:lang w:val="en-US"/>
        </w:rPr>
        <w:t>Chapter II provides an overview of policy, legal and institutional frameworks that are</w:t>
      </w:r>
      <w:r w:rsidR="00B636FF" w:rsidRPr="00B636FF">
        <w:rPr>
          <w:rFonts w:ascii="Rockwell" w:eastAsia="Times New Roman" w:hAnsi="Rockwell" w:cs="Times New Roman"/>
          <w:color w:val="000000"/>
          <w:sz w:val="24"/>
          <w:szCs w:val="24"/>
          <w:lang w:val="en-US"/>
        </w:rPr>
        <w:t xml:space="preserve"> relevant to the mining sector and includes a section on the global best practices concerning the environmental deposit bonds aspects.</w:t>
      </w:r>
    </w:p>
    <w:p w:rsidR="00FB6964" w:rsidRPr="00B636FF" w:rsidRDefault="00FB6964" w:rsidP="00B636FF">
      <w:pPr>
        <w:spacing w:line="240" w:lineRule="auto"/>
        <w:jc w:val="both"/>
        <w:rPr>
          <w:rFonts w:ascii="Rockwell" w:eastAsia="Times New Roman" w:hAnsi="Rockwell" w:cs="Times New Roman"/>
          <w:color w:val="000000"/>
          <w:sz w:val="24"/>
          <w:szCs w:val="24"/>
          <w:lang w:val="en-US"/>
        </w:rPr>
      </w:pPr>
    </w:p>
    <w:p w:rsidR="00FB6964" w:rsidRPr="00B636FF" w:rsidRDefault="00325A9B" w:rsidP="00B636FF">
      <w:pPr>
        <w:spacing w:line="240" w:lineRule="auto"/>
        <w:jc w:val="both"/>
        <w:rPr>
          <w:rFonts w:ascii="Rockwell" w:eastAsia="Times New Roman" w:hAnsi="Rockwell" w:cs="Times New Roman"/>
          <w:color w:val="000000"/>
          <w:sz w:val="24"/>
          <w:szCs w:val="24"/>
          <w:lang w:val="en-US"/>
        </w:rPr>
      </w:pPr>
      <w:r w:rsidRPr="00B636FF">
        <w:rPr>
          <w:rFonts w:ascii="Rockwell" w:eastAsia="Times New Roman" w:hAnsi="Rockwell" w:cs="Times New Roman"/>
          <w:color w:val="000000"/>
          <w:sz w:val="24"/>
          <w:szCs w:val="24"/>
          <w:lang w:val="en-US"/>
        </w:rPr>
        <w:t xml:space="preserve">Chapter III provides the </w:t>
      </w:r>
      <w:r w:rsidR="00B636FF" w:rsidRPr="00B636FF">
        <w:rPr>
          <w:rFonts w:ascii="Rockwell" w:eastAsia="Times New Roman" w:hAnsi="Rockwell" w:cs="Times New Roman"/>
          <w:color w:val="000000"/>
          <w:sz w:val="24"/>
          <w:szCs w:val="24"/>
          <w:lang w:val="en-US"/>
        </w:rPr>
        <w:t>determination and management of the environmental deposit bonds</w:t>
      </w:r>
      <w:r w:rsidRPr="00B636FF">
        <w:rPr>
          <w:rFonts w:ascii="Rockwell" w:eastAsia="Times New Roman" w:hAnsi="Rockwell" w:cs="Times New Roman"/>
          <w:color w:val="000000"/>
          <w:sz w:val="24"/>
          <w:szCs w:val="24"/>
          <w:lang w:val="en-US"/>
        </w:rPr>
        <w:t>.</w:t>
      </w:r>
      <w:r w:rsidR="00B636FF" w:rsidRPr="00B636FF">
        <w:rPr>
          <w:rFonts w:ascii="Rockwell" w:eastAsia="Times New Roman" w:hAnsi="Rockwell" w:cs="Times New Roman"/>
          <w:color w:val="000000"/>
          <w:sz w:val="24"/>
          <w:szCs w:val="24"/>
          <w:lang w:val="en-US"/>
        </w:rPr>
        <w:t xml:space="preserve"> It includes the initial determination, review of the environmental deposit bonds, </w:t>
      </w:r>
      <w:proofErr w:type="gramStart"/>
      <w:r w:rsidR="00B636FF" w:rsidRPr="00B636FF">
        <w:rPr>
          <w:rFonts w:ascii="Rockwell" w:eastAsia="Times New Roman" w:hAnsi="Rockwell" w:cs="Times New Roman"/>
          <w:color w:val="000000"/>
          <w:sz w:val="24"/>
          <w:szCs w:val="24"/>
          <w:lang w:val="en-US"/>
        </w:rPr>
        <w:t>reassessment</w:t>
      </w:r>
      <w:proofErr w:type="gramEnd"/>
      <w:r w:rsidR="00B636FF" w:rsidRPr="00B636FF">
        <w:rPr>
          <w:rFonts w:ascii="Rockwell" w:eastAsia="Times New Roman" w:hAnsi="Rockwell" w:cs="Times New Roman"/>
          <w:color w:val="000000"/>
          <w:sz w:val="24"/>
          <w:szCs w:val="24"/>
          <w:lang w:val="en-US"/>
        </w:rPr>
        <w:t xml:space="preserve"> of the environmental deposit bonds payable, refund, confiscation and appeal process if a mine operator is aggrieved</w:t>
      </w:r>
      <w:r w:rsidRPr="00B636FF">
        <w:rPr>
          <w:rFonts w:ascii="Rockwell" w:eastAsia="Times New Roman" w:hAnsi="Rockwell" w:cs="Times New Roman"/>
          <w:color w:val="000000"/>
          <w:sz w:val="24"/>
          <w:szCs w:val="24"/>
          <w:lang w:val="en-US"/>
        </w:rPr>
        <w:t xml:space="preserve"> </w:t>
      </w:r>
    </w:p>
    <w:p w:rsidR="00FB6964" w:rsidRPr="00B636FF" w:rsidRDefault="00FB6964" w:rsidP="00B636FF">
      <w:pPr>
        <w:spacing w:line="240" w:lineRule="auto"/>
        <w:jc w:val="both"/>
        <w:rPr>
          <w:rFonts w:ascii="Rockwell" w:eastAsia="Times New Roman" w:hAnsi="Rockwell" w:cs="Times New Roman"/>
          <w:color w:val="000000"/>
          <w:sz w:val="24"/>
          <w:szCs w:val="24"/>
          <w:lang w:val="en-US"/>
        </w:rPr>
      </w:pPr>
    </w:p>
    <w:p w:rsidR="00FB6964" w:rsidRPr="00B636FF" w:rsidRDefault="00325A9B" w:rsidP="00B636FF">
      <w:pPr>
        <w:spacing w:line="240" w:lineRule="auto"/>
        <w:jc w:val="both"/>
        <w:rPr>
          <w:rFonts w:ascii="Rockwell" w:eastAsia="Times New Roman" w:hAnsi="Rockwell" w:cs="Times New Roman"/>
          <w:color w:val="000000"/>
          <w:sz w:val="24"/>
          <w:szCs w:val="24"/>
          <w:lang w:val="en-US"/>
        </w:rPr>
      </w:pPr>
      <w:r w:rsidRPr="00B636FF">
        <w:rPr>
          <w:rFonts w:ascii="Rockwell" w:eastAsia="Times New Roman" w:hAnsi="Rockwell" w:cs="Times New Roman"/>
          <w:color w:val="000000"/>
          <w:sz w:val="24"/>
          <w:szCs w:val="24"/>
          <w:lang w:val="en-US"/>
        </w:rPr>
        <w:t xml:space="preserve">Chapter IV outlines the </w:t>
      </w:r>
      <w:r w:rsidR="00B636FF" w:rsidRPr="00B636FF">
        <w:rPr>
          <w:rFonts w:ascii="Rockwell" w:eastAsia="Times New Roman" w:hAnsi="Rockwell" w:cs="Times New Roman"/>
          <w:color w:val="000000"/>
          <w:sz w:val="24"/>
          <w:szCs w:val="24"/>
          <w:lang w:val="en-US"/>
        </w:rPr>
        <w:t xml:space="preserve">remediation standards and the estimations of the remediation liability. It also covers the remediation management plan, the key mine site remediation parameters and </w:t>
      </w:r>
      <w:proofErr w:type="spellStart"/>
      <w:r w:rsidR="00B636FF" w:rsidRPr="00B636FF">
        <w:rPr>
          <w:rFonts w:ascii="Rockwell" w:eastAsia="Times New Roman" w:hAnsi="Rockwell" w:cs="Times New Roman"/>
          <w:color w:val="000000"/>
          <w:sz w:val="24"/>
          <w:szCs w:val="24"/>
          <w:lang w:val="en-US"/>
        </w:rPr>
        <w:t>monitorable</w:t>
      </w:r>
      <w:proofErr w:type="spellEnd"/>
      <w:r w:rsidR="00B636FF" w:rsidRPr="00B636FF">
        <w:rPr>
          <w:rFonts w:ascii="Rockwell" w:eastAsia="Times New Roman" w:hAnsi="Rockwell" w:cs="Times New Roman"/>
          <w:color w:val="000000"/>
          <w:sz w:val="24"/>
          <w:szCs w:val="24"/>
          <w:lang w:val="en-US"/>
        </w:rPr>
        <w:t xml:space="preserve"> indicators. </w:t>
      </w:r>
    </w:p>
    <w:p w:rsidR="00FB6964" w:rsidRPr="00B636FF" w:rsidRDefault="00FB6964" w:rsidP="00B636FF">
      <w:pPr>
        <w:spacing w:line="240" w:lineRule="auto"/>
        <w:jc w:val="both"/>
        <w:rPr>
          <w:rFonts w:ascii="Rockwell" w:eastAsia="Times New Roman" w:hAnsi="Rockwell" w:cs="Times New Roman"/>
          <w:color w:val="000000"/>
          <w:sz w:val="24"/>
          <w:szCs w:val="24"/>
          <w:lang w:val="en-US"/>
        </w:rPr>
      </w:pPr>
    </w:p>
    <w:p w:rsidR="00F17C6F" w:rsidRPr="00B636FF" w:rsidRDefault="00F17C6F" w:rsidP="00B636FF">
      <w:pPr>
        <w:jc w:val="both"/>
        <w:rPr>
          <w:rFonts w:ascii="Rockwell" w:hAnsi="Rockwell"/>
          <w:sz w:val="24"/>
          <w:szCs w:val="24"/>
        </w:rPr>
      </w:pPr>
      <w:r w:rsidRPr="00B636FF">
        <w:rPr>
          <w:rFonts w:ascii="Rockwell" w:hAnsi="Rockwell"/>
          <w:sz w:val="24"/>
          <w:szCs w:val="24"/>
        </w:rPr>
        <w:t>Through the implementation of these Guidelines, Kenya seeks to balance economic benefits from mineral development with environmental protection and social responsibility. By securing financial guarantees for environmental obligations, the mining sector can contribute more sustainably to national development while safeguarding natural resources for present and future generations.</w:t>
      </w:r>
    </w:p>
    <w:p w:rsidR="00420839" w:rsidRPr="00B636FF" w:rsidRDefault="00420839" w:rsidP="00B636FF">
      <w:pPr>
        <w:jc w:val="both"/>
        <w:rPr>
          <w:rFonts w:ascii="Rockwell" w:hAnsi="Rockwell"/>
          <w:sz w:val="24"/>
          <w:szCs w:val="24"/>
        </w:rPr>
      </w:pPr>
    </w:p>
    <w:p w:rsidR="00420839" w:rsidRPr="00B636FF" w:rsidRDefault="00420839" w:rsidP="00B636FF">
      <w:pPr>
        <w:jc w:val="both"/>
        <w:rPr>
          <w:rFonts w:ascii="Rockwell" w:hAnsi="Rockwell"/>
          <w:sz w:val="24"/>
          <w:szCs w:val="24"/>
        </w:rPr>
      </w:pPr>
    </w:p>
    <w:p w:rsidR="00420839" w:rsidRPr="00B636FF" w:rsidRDefault="00420839" w:rsidP="00B636FF">
      <w:pPr>
        <w:jc w:val="both"/>
        <w:rPr>
          <w:rFonts w:ascii="Rockwell" w:hAnsi="Rockwell"/>
          <w:sz w:val="24"/>
          <w:szCs w:val="24"/>
        </w:rPr>
      </w:pPr>
    </w:p>
    <w:p w:rsidR="00420839" w:rsidRPr="00B636FF" w:rsidRDefault="00420839" w:rsidP="00B636FF">
      <w:pPr>
        <w:jc w:val="both"/>
        <w:rPr>
          <w:rFonts w:ascii="Rockwell" w:hAnsi="Rockwell"/>
          <w:sz w:val="24"/>
          <w:szCs w:val="24"/>
        </w:rPr>
      </w:pPr>
    </w:p>
    <w:p w:rsidR="00420839" w:rsidRPr="00B636FF" w:rsidRDefault="00420839" w:rsidP="00B636FF">
      <w:pPr>
        <w:jc w:val="both"/>
        <w:rPr>
          <w:rFonts w:ascii="Rockwell" w:hAnsi="Rockwell"/>
          <w:sz w:val="24"/>
          <w:szCs w:val="24"/>
        </w:rPr>
      </w:pPr>
    </w:p>
    <w:p w:rsidR="00420839" w:rsidRPr="00B636FF" w:rsidRDefault="00420839" w:rsidP="00B636FF">
      <w:pPr>
        <w:jc w:val="both"/>
        <w:rPr>
          <w:rFonts w:ascii="Rockwell" w:hAnsi="Rockwell"/>
          <w:sz w:val="24"/>
          <w:szCs w:val="24"/>
        </w:rPr>
      </w:pPr>
    </w:p>
    <w:p w:rsidR="00420839" w:rsidRPr="00B636FF" w:rsidRDefault="00420839" w:rsidP="00B636FF">
      <w:pPr>
        <w:jc w:val="both"/>
        <w:rPr>
          <w:rFonts w:ascii="Rockwell" w:hAnsi="Rockwell"/>
          <w:sz w:val="24"/>
          <w:szCs w:val="24"/>
        </w:rPr>
      </w:pPr>
    </w:p>
    <w:p w:rsidR="00420839" w:rsidRPr="00B636FF" w:rsidRDefault="00420839" w:rsidP="00B636FF">
      <w:pPr>
        <w:jc w:val="both"/>
        <w:rPr>
          <w:rFonts w:ascii="Rockwell" w:hAnsi="Rockwell"/>
          <w:sz w:val="24"/>
          <w:szCs w:val="24"/>
        </w:rPr>
      </w:pPr>
    </w:p>
    <w:p w:rsidR="00420839" w:rsidRPr="00B636FF" w:rsidRDefault="00420839" w:rsidP="00B636FF">
      <w:pPr>
        <w:jc w:val="both"/>
        <w:rPr>
          <w:rFonts w:ascii="Rockwell" w:hAnsi="Rockwell"/>
          <w:sz w:val="24"/>
          <w:szCs w:val="24"/>
        </w:rPr>
      </w:pPr>
    </w:p>
    <w:p w:rsidR="00420839" w:rsidRPr="00B636FF" w:rsidRDefault="00420839" w:rsidP="00B636FF">
      <w:pPr>
        <w:jc w:val="both"/>
        <w:rPr>
          <w:rFonts w:ascii="Rockwell" w:hAnsi="Rockwell"/>
          <w:sz w:val="24"/>
          <w:szCs w:val="24"/>
        </w:rPr>
      </w:pPr>
    </w:p>
    <w:p w:rsidR="00420839" w:rsidRPr="00B636FF" w:rsidRDefault="00420839" w:rsidP="00B636FF">
      <w:pPr>
        <w:jc w:val="both"/>
        <w:rPr>
          <w:rFonts w:ascii="Rockwell" w:hAnsi="Rockwell"/>
          <w:sz w:val="24"/>
          <w:szCs w:val="24"/>
        </w:rPr>
      </w:pPr>
    </w:p>
    <w:p w:rsidR="00420839" w:rsidRDefault="00420839" w:rsidP="00F324A6"/>
    <w:p w:rsidR="00420839" w:rsidRDefault="00420839" w:rsidP="00F324A6"/>
    <w:p w:rsidR="00F324A6" w:rsidRPr="00E20628" w:rsidRDefault="004F1FA6" w:rsidP="00F324A6">
      <w:pPr>
        <w:pStyle w:val="Heading1"/>
        <w:rPr>
          <w:rFonts w:ascii="Rockwell" w:eastAsia="Times New Roman" w:hAnsi="Rockwell" w:cs="Times New Roman"/>
          <w:b/>
          <w:sz w:val="24"/>
          <w:szCs w:val="24"/>
        </w:rPr>
      </w:pPr>
      <w:bookmarkStart w:id="1" w:name="_Toc209047090"/>
      <w:r w:rsidRPr="00E20628">
        <w:rPr>
          <w:rFonts w:ascii="Rockwell" w:eastAsia="Times New Roman" w:hAnsi="Rockwell" w:cs="Times New Roman"/>
          <w:b/>
          <w:sz w:val="24"/>
          <w:szCs w:val="24"/>
        </w:rPr>
        <w:lastRenderedPageBreak/>
        <w:t>Foreword</w:t>
      </w:r>
      <w:bookmarkEnd w:id="1"/>
    </w:p>
    <w:p w:rsidR="00CA1FFF" w:rsidRPr="00E20628" w:rsidRDefault="00CA1FFF" w:rsidP="00E20628">
      <w:pPr>
        <w:pStyle w:val="NormalWeb"/>
        <w:jc w:val="both"/>
        <w:rPr>
          <w:rFonts w:ascii="Rockwell" w:hAnsi="Rockwell"/>
        </w:rPr>
      </w:pPr>
      <w:r w:rsidRPr="00E20628">
        <w:rPr>
          <w:rFonts w:ascii="Rockwell" w:hAnsi="Rockwell"/>
        </w:rPr>
        <w:t>Kenya’s mining sector is poised for significant growth, driven by the discovery and exploitation of diverse mineral resources across the country. While this growth presents immense opportunities for economic development, employment creation, and technological advancement, it also brings with it potential environmental and social challenges. Addressing these challenges proactively is essential to ensure that mining contributes to sustainable development without compromising the integrity of our ecosystems</w:t>
      </w:r>
      <w:r w:rsidR="00E20628" w:rsidRPr="00E20628">
        <w:rPr>
          <w:rFonts w:ascii="Rockwell" w:hAnsi="Rockwell"/>
        </w:rPr>
        <w:t xml:space="preserve"> and the safety of the communities</w:t>
      </w:r>
      <w:r w:rsidRPr="00E20628">
        <w:rPr>
          <w:rFonts w:ascii="Rockwell" w:hAnsi="Rockwell"/>
        </w:rPr>
        <w:t>.</w:t>
      </w:r>
    </w:p>
    <w:p w:rsidR="00CA1FFF" w:rsidRPr="00CA1FFF" w:rsidRDefault="00CA1FFF" w:rsidP="00E20628">
      <w:pPr>
        <w:spacing w:before="100" w:beforeAutospacing="1" w:after="100" w:afterAutospacing="1" w:line="240" w:lineRule="auto"/>
        <w:jc w:val="both"/>
        <w:rPr>
          <w:rFonts w:ascii="Rockwell" w:eastAsia="Times New Roman" w:hAnsi="Rockwell" w:cs="Times New Roman"/>
          <w:sz w:val="24"/>
          <w:szCs w:val="24"/>
          <w:lang w:val="en-US"/>
        </w:rPr>
      </w:pPr>
      <w:r w:rsidRPr="00CA1FFF">
        <w:rPr>
          <w:rFonts w:ascii="Rockwell" w:eastAsia="Times New Roman" w:hAnsi="Rockwell" w:cs="Times New Roman"/>
          <w:sz w:val="24"/>
          <w:szCs w:val="24"/>
          <w:lang w:val="en-US"/>
        </w:rPr>
        <w:t xml:space="preserve">The </w:t>
      </w:r>
      <w:r w:rsidRPr="00E20628">
        <w:rPr>
          <w:rFonts w:ascii="Rockwell" w:eastAsia="Times New Roman" w:hAnsi="Rockwell" w:cs="Times New Roman"/>
          <w:bCs/>
          <w:sz w:val="24"/>
          <w:szCs w:val="24"/>
          <w:lang w:val="en-US"/>
        </w:rPr>
        <w:t>National Guidelines on Environmental Deposit Bonds for the Mining Sector in Kenya</w:t>
      </w:r>
      <w:r w:rsidRPr="00CA1FFF">
        <w:rPr>
          <w:rFonts w:ascii="Rockwell" w:eastAsia="Times New Roman" w:hAnsi="Rockwell" w:cs="Times New Roman"/>
          <w:sz w:val="24"/>
          <w:szCs w:val="24"/>
          <w:lang w:val="en-US"/>
        </w:rPr>
        <w:t xml:space="preserve"> have been developed to provide a clear, transparent, and predictable framework for the management of environmental liabilities a</w:t>
      </w:r>
      <w:r w:rsidR="00E20628">
        <w:rPr>
          <w:rFonts w:ascii="Rockwell" w:eastAsia="Times New Roman" w:hAnsi="Rockwell" w:cs="Times New Roman"/>
          <w:sz w:val="24"/>
          <w:szCs w:val="24"/>
          <w:lang w:val="en-US"/>
        </w:rPr>
        <w:t>ssociated with mining operations</w:t>
      </w:r>
      <w:r w:rsidRPr="00CA1FFF">
        <w:rPr>
          <w:rFonts w:ascii="Rockwell" w:eastAsia="Times New Roman" w:hAnsi="Rockwell" w:cs="Times New Roman"/>
          <w:sz w:val="24"/>
          <w:szCs w:val="24"/>
          <w:lang w:val="en-US"/>
        </w:rPr>
        <w:t xml:space="preserve">. These Guidelines seek to ensure that </w:t>
      </w:r>
      <w:r w:rsidR="00E20628">
        <w:rPr>
          <w:rFonts w:ascii="Rockwell" w:eastAsia="Times New Roman" w:hAnsi="Rockwell" w:cs="Times New Roman"/>
          <w:sz w:val="24"/>
          <w:szCs w:val="24"/>
          <w:lang w:val="en-US"/>
        </w:rPr>
        <w:t xml:space="preserve">mine </w:t>
      </w:r>
      <w:r w:rsidRPr="00CA1FFF">
        <w:rPr>
          <w:rFonts w:ascii="Rockwell" w:eastAsia="Times New Roman" w:hAnsi="Rockwell" w:cs="Times New Roman"/>
          <w:sz w:val="24"/>
          <w:szCs w:val="24"/>
          <w:lang w:val="en-US"/>
        </w:rPr>
        <w:t>operators are held accountable for environmental stewardship throughout the life cycle of mining projects</w:t>
      </w:r>
      <w:r w:rsidR="00E20628">
        <w:rPr>
          <w:rFonts w:ascii="Rockwell" w:eastAsia="Times New Roman" w:hAnsi="Rockwell" w:cs="Times New Roman"/>
          <w:sz w:val="24"/>
          <w:szCs w:val="24"/>
          <w:lang w:val="en-US"/>
        </w:rPr>
        <w:t xml:space="preserve">. </w:t>
      </w:r>
      <w:r w:rsidRPr="00CA1FFF">
        <w:rPr>
          <w:rFonts w:ascii="Rockwell" w:eastAsia="Times New Roman" w:hAnsi="Rockwell" w:cs="Times New Roman"/>
          <w:sz w:val="24"/>
          <w:szCs w:val="24"/>
          <w:lang w:val="en-US"/>
        </w:rPr>
        <w:t>The</w:t>
      </w:r>
      <w:r w:rsidR="00E20628">
        <w:rPr>
          <w:rFonts w:ascii="Rockwell" w:eastAsia="Times New Roman" w:hAnsi="Rockwell" w:cs="Times New Roman"/>
          <w:sz w:val="24"/>
          <w:szCs w:val="24"/>
          <w:lang w:val="en-US"/>
        </w:rPr>
        <w:t xml:space="preserve"> Guidelines will </w:t>
      </w:r>
      <w:r w:rsidRPr="00CA1FFF">
        <w:rPr>
          <w:rFonts w:ascii="Rockwell" w:eastAsia="Times New Roman" w:hAnsi="Rockwell" w:cs="Times New Roman"/>
          <w:sz w:val="24"/>
          <w:szCs w:val="24"/>
          <w:lang w:val="en-US"/>
        </w:rPr>
        <w:t xml:space="preserve">also serve </w:t>
      </w:r>
      <w:r w:rsidR="00E20628">
        <w:rPr>
          <w:rFonts w:ascii="Rockwell" w:eastAsia="Times New Roman" w:hAnsi="Rockwell" w:cs="Times New Roman"/>
          <w:sz w:val="24"/>
          <w:szCs w:val="24"/>
          <w:lang w:val="en-US"/>
        </w:rPr>
        <w:t xml:space="preserve">as a safeguard </w:t>
      </w:r>
      <w:r w:rsidRPr="00CA1FFF">
        <w:rPr>
          <w:rFonts w:ascii="Rockwell" w:eastAsia="Times New Roman" w:hAnsi="Rockwell" w:cs="Times New Roman"/>
          <w:sz w:val="24"/>
          <w:szCs w:val="24"/>
          <w:lang w:val="en-US"/>
        </w:rPr>
        <w:t>to protect communities and natural resources by guaranteeing that funds are available for rehabilitation, restoration, and environmental management in the event of non-compliance or abandonment.</w:t>
      </w:r>
    </w:p>
    <w:p w:rsidR="00CA1FFF" w:rsidRPr="00CA1FFF" w:rsidRDefault="00CA1FFF" w:rsidP="00E20628">
      <w:pPr>
        <w:spacing w:before="100" w:beforeAutospacing="1" w:after="100" w:afterAutospacing="1" w:line="240" w:lineRule="auto"/>
        <w:jc w:val="both"/>
        <w:rPr>
          <w:rFonts w:ascii="Rockwell" w:eastAsia="Times New Roman" w:hAnsi="Rockwell" w:cs="Times New Roman"/>
          <w:sz w:val="24"/>
          <w:szCs w:val="24"/>
          <w:lang w:val="en-US"/>
        </w:rPr>
      </w:pPr>
      <w:r w:rsidRPr="00CA1FFF">
        <w:rPr>
          <w:rFonts w:ascii="Rockwell" w:eastAsia="Times New Roman" w:hAnsi="Rockwell" w:cs="Times New Roman"/>
          <w:sz w:val="24"/>
          <w:szCs w:val="24"/>
          <w:lang w:val="en-US"/>
        </w:rPr>
        <w:t>This document represents a significant milestone in strengthening Kenya’s environmental governance within the mining industry. It is the product of extensive consultations with stakeholders, including government agencies, mining companies, civil society, and local communities. By setting out the principles, procedures, and obligations for environmental deposit bonds, these Guidelines promote transparency, accountability, and compliance with national and international best practices.</w:t>
      </w:r>
    </w:p>
    <w:p w:rsidR="00CA1FFF" w:rsidRPr="00CA1FFF" w:rsidRDefault="00CA1FFF" w:rsidP="00E20628">
      <w:pPr>
        <w:spacing w:before="100" w:beforeAutospacing="1" w:after="100" w:afterAutospacing="1" w:line="240" w:lineRule="auto"/>
        <w:jc w:val="both"/>
        <w:rPr>
          <w:rFonts w:ascii="Rockwell" w:eastAsia="Times New Roman" w:hAnsi="Rockwell" w:cs="Times New Roman"/>
          <w:sz w:val="24"/>
          <w:szCs w:val="24"/>
          <w:lang w:val="en-US"/>
        </w:rPr>
      </w:pPr>
      <w:r w:rsidRPr="00CA1FFF">
        <w:rPr>
          <w:rFonts w:ascii="Rockwell" w:eastAsia="Times New Roman" w:hAnsi="Rockwell" w:cs="Times New Roman"/>
          <w:sz w:val="24"/>
          <w:szCs w:val="24"/>
          <w:lang w:val="en-US"/>
        </w:rPr>
        <w:t>I invite all stakeholders to embrace and implement these Guidelines diligently. Together, we can ensure that Kenya’s mineral wealth becomes a catalyst for sustainable development while safeguarding the environment for present and future generations.</w:t>
      </w:r>
    </w:p>
    <w:p w:rsidR="00E20628" w:rsidRDefault="00E20628" w:rsidP="000E7DFC">
      <w:pPr>
        <w:spacing w:before="240" w:after="160"/>
        <w:jc w:val="both"/>
        <w:rPr>
          <w:rFonts w:ascii="Rockwell" w:eastAsia="Times New Roman" w:hAnsi="Rockwell" w:cs="Times New Roman"/>
          <w:sz w:val="24"/>
          <w:szCs w:val="24"/>
        </w:rPr>
      </w:pP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p w:rsidR="006822F2" w:rsidRPr="00E20628" w:rsidRDefault="00E20628" w:rsidP="000E7DFC">
      <w:pPr>
        <w:spacing w:before="240" w:after="160"/>
        <w:jc w:val="both"/>
        <w:rPr>
          <w:rFonts w:ascii="Rockwell" w:eastAsia="Times New Roman" w:hAnsi="Rockwell" w:cs="Times New Roman"/>
          <w:b/>
          <w:sz w:val="24"/>
          <w:szCs w:val="24"/>
        </w:rPr>
      </w:pPr>
      <w:r w:rsidRPr="00E20628">
        <w:rPr>
          <w:rFonts w:ascii="Rockwell" w:eastAsia="Times New Roman" w:hAnsi="Rockwell" w:cs="Times New Roman"/>
          <w:b/>
          <w:sz w:val="24"/>
          <w:szCs w:val="24"/>
        </w:rPr>
        <w:t>EMILIO MUGO</w:t>
      </w:r>
    </w:p>
    <w:p w:rsidR="00E20628" w:rsidRPr="00E20628" w:rsidRDefault="00E20628" w:rsidP="000E7DFC">
      <w:pPr>
        <w:spacing w:before="240" w:after="160"/>
        <w:jc w:val="both"/>
        <w:rPr>
          <w:rFonts w:ascii="Rockwell" w:eastAsia="Times New Roman" w:hAnsi="Rockwell" w:cs="Times New Roman"/>
          <w:b/>
          <w:sz w:val="24"/>
          <w:szCs w:val="24"/>
        </w:rPr>
      </w:pPr>
      <w:r w:rsidRPr="00E20628">
        <w:rPr>
          <w:rFonts w:ascii="Rockwell" w:eastAsia="Times New Roman" w:hAnsi="Rockwell" w:cs="Times New Roman"/>
          <w:b/>
          <w:sz w:val="24"/>
          <w:szCs w:val="24"/>
        </w:rPr>
        <w:t>NEMA BOARD OF DIRECTORS</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p w:rsidR="008E29E3" w:rsidRPr="004A76D7" w:rsidRDefault="008E29E3" w:rsidP="000E7DFC">
      <w:pPr>
        <w:spacing w:before="240" w:after="160"/>
        <w:jc w:val="both"/>
        <w:rPr>
          <w:rFonts w:ascii="Rockwell" w:eastAsia="Times New Roman" w:hAnsi="Rockwell" w:cs="Times New Roman"/>
          <w:sz w:val="24"/>
          <w:szCs w:val="24"/>
        </w:rPr>
      </w:pPr>
    </w:p>
    <w:p w:rsidR="006822F2" w:rsidRPr="004A76D7" w:rsidRDefault="00AD5D8B" w:rsidP="000E7DFC">
      <w:pPr>
        <w:pStyle w:val="Heading1"/>
        <w:rPr>
          <w:rFonts w:ascii="Rockwell" w:eastAsia="Times New Roman" w:hAnsi="Rockwell" w:cs="Times New Roman"/>
          <w:b/>
          <w:sz w:val="24"/>
          <w:szCs w:val="24"/>
        </w:rPr>
      </w:pPr>
      <w:r w:rsidRPr="004A76D7">
        <w:rPr>
          <w:rFonts w:ascii="Rockwell" w:eastAsia="Times New Roman" w:hAnsi="Rockwell" w:cs="Times New Roman"/>
          <w:sz w:val="24"/>
          <w:szCs w:val="24"/>
        </w:rPr>
        <w:lastRenderedPageBreak/>
        <w:t xml:space="preserve"> </w:t>
      </w:r>
      <w:bookmarkStart w:id="2" w:name="_Toc209047091"/>
      <w:r w:rsidR="00243ED1" w:rsidRPr="004A76D7">
        <w:rPr>
          <w:rFonts w:ascii="Rockwell" w:eastAsia="Times New Roman" w:hAnsi="Rockwell" w:cs="Times New Roman"/>
          <w:b/>
          <w:sz w:val="24"/>
          <w:szCs w:val="24"/>
        </w:rPr>
        <w:t>Acknowledgement</w:t>
      </w:r>
      <w:bookmarkEnd w:id="2"/>
    </w:p>
    <w:p w:rsidR="006822F2" w:rsidRPr="00F80121" w:rsidRDefault="00AD5D8B" w:rsidP="000E7DFC">
      <w:pPr>
        <w:spacing w:before="240" w:after="240"/>
        <w:jc w:val="both"/>
        <w:rPr>
          <w:rFonts w:ascii="Rockwell" w:eastAsia="Times New Roman" w:hAnsi="Rockwell" w:cs="Times New Roman"/>
          <w:color w:val="00B0F0"/>
          <w:sz w:val="24"/>
          <w:szCs w:val="24"/>
        </w:rPr>
      </w:pPr>
      <w:r w:rsidRPr="004A76D7">
        <w:rPr>
          <w:rFonts w:ascii="Rockwell" w:eastAsia="Times New Roman" w:hAnsi="Rockwell" w:cs="Times New Roman"/>
          <w:sz w:val="24"/>
          <w:szCs w:val="24"/>
        </w:rPr>
        <w:t xml:space="preserve">The process of preparing these Guidelines benefited immensely from the financial support from Swedish International Development Agency (SIDA) through the Swedish Environmental and Protection Agency (SEPA) and United Nations Development </w:t>
      </w:r>
      <w:proofErr w:type="spellStart"/>
      <w:r w:rsidRPr="004A76D7">
        <w:rPr>
          <w:rFonts w:ascii="Rockwell" w:eastAsia="Times New Roman" w:hAnsi="Rockwell" w:cs="Times New Roman"/>
          <w:sz w:val="24"/>
          <w:szCs w:val="24"/>
        </w:rPr>
        <w:t>Programme</w:t>
      </w:r>
      <w:proofErr w:type="spellEnd"/>
      <w:r w:rsidRPr="004A76D7">
        <w:rPr>
          <w:rFonts w:ascii="Rockwell" w:eastAsia="Times New Roman" w:hAnsi="Rockwell" w:cs="Times New Roman"/>
          <w:sz w:val="24"/>
          <w:szCs w:val="24"/>
        </w:rPr>
        <w:t xml:space="preserve"> (UNDP) Kenya and the WWF Kenya.</w:t>
      </w:r>
      <w:r w:rsidR="00F80121">
        <w:rPr>
          <w:rFonts w:ascii="Rockwell" w:eastAsia="Times New Roman" w:hAnsi="Rockwell" w:cs="Times New Roman"/>
          <w:sz w:val="24"/>
          <w:szCs w:val="24"/>
        </w:rPr>
        <w:t xml:space="preserve"> </w:t>
      </w:r>
      <w:r w:rsidR="00F80121" w:rsidRPr="00F80121">
        <w:rPr>
          <w:rFonts w:ascii="Rockwell" w:eastAsia="Times New Roman" w:hAnsi="Rockwell" w:cs="Times New Roman"/>
          <w:color w:val="00B0F0"/>
          <w:sz w:val="24"/>
          <w:szCs w:val="24"/>
        </w:rPr>
        <w:t xml:space="preserve">WWF Kenya provided the technical and financial support during the initial infancy stages of the Guidelines Development.  </w:t>
      </w:r>
      <w:bookmarkStart w:id="3" w:name="_GoBack"/>
      <w:bookmarkEnd w:id="3"/>
    </w:p>
    <w:p w:rsidR="002B72BE" w:rsidRDefault="00AD5D8B"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Many thanks to the Project Technical Committee  Sincere appreciation to the Project Technical Committee  comprising the following officers; Peterson </w:t>
      </w:r>
      <w:proofErr w:type="spellStart"/>
      <w:r w:rsidRPr="004A76D7">
        <w:rPr>
          <w:rFonts w:ascii="Rockwell" w:eastAsia="Times New Roman" w:hAnsi="Rockwell" w:cs="Times New Roman"/>
          <w:sz w:val="24"/>
          <w:szCs w:val="24"/>
        </w:rPr>
        <w:t>Kamau</w:t>
      </w:r>
      <w:proofErr w:type="spellEnd"/>
      <w:r w:rsidRPr="004A76D7">
        <w:rPr>
          <w:rFonts w:ascii="Rockwell" w:eastAsia="Times New Roman" w:hAnsi="Rockwell" w:cs="Times New Roman"/>
          <w:sz w:val="24"/>
          <w:szCs w:val="24"/>
        </w:rPr>
        <w:t xml:space="preserve"> from Ministry of Environment, Climate Change and Forestry, Thomas </w:t>
      </w:r>
      <w:proofErr w:type="spellStart"/>
      <w:r w:rsidRPr="004A76D7">
        <w:rPr>
          <w:rFonts w:ascii="Rockwell" w:eastAsia="Times New Roman" w:hAnsi="Rockwell" w:cs="Times New Roman"/>
          <w:sz w:val="24"/>
          <w:szCs w:val="24"/>
        </w:rPr>
        <w:t>Kipngeny</w:t>
      </w:r>
      <w:proofErr w:type="spellEnd"/>
      <w:r w:rsidRPr="004A76D7">
        <w:rPr>
          <w:rFonts w:ascii="Rockwell" w:eastAsia="Times New Roman" w:hAnsi="Rockwell" w:cs="Times New Roman"/>
          <w:sz w:val="24"/>
          <w:szCs w:val="24"/>
        </w:rPr>
        <w:t xml:space="preserve"> and Joshua </w:t>
      </w:r>
      <w:proofErr w:type="spellStart"/>
      <w:r w:rsidRPr="004A76D7">
        <w:rPr>
          <w:rFonts w:ascii="Rockwell" w:eastAsia="Times New Roman" w:hAnsi="Rockwell" w:cs="Times New Roman"/>
          <w:sz w:val="24"/>
          <w:szCs w:val="24"/>
        </w:rPr>
        <w:t>Bo</w:t>
      </w:r>
      <w:r w:rsidR="00F324A6">
        <w:rPr>
          <w:rFonts w:ascii="Rockwell" w:eastAsia="Times New Roman" w:hAnsi="Rockwell" w:cs="Times New Roman"/>
          <w:sz w:val="24"/>
          <w:szCs w:val="24"/>
        </w:rPr>
        <w:t>iwo</w:t>
      </w:r>
      <w:proofErr w:type="spellEnd"/>
      <w:r w:rsidR="00F324A6">
        <w:rPr>
          <w:rFonts w:ascii="Rockwell" w:eastAsia="Times New Roman" w:hAnsi="Rockwell" w:cs="Times New Roman"/>
          <w:sz w:val="24"/>
          <w:szCs w:val="24"/>
        </w:rPr>
        <w:t xml:space="preserve"> from the State Department for</w:t>
      </w:r>
      <w:r w:rsidRPr="004A76D7">
        <w:rPr>
          <w:rFonts w:ascii="Rockwell" w:eastAsia="Times New Roman" w:hAnsi="Rockwell" w:cs="Times New Roman"/>
          <w:sz w:val="24"/>
          <w:szCs w:val="24"/>
        </w:rPr>
        <w:t xml:space="preserve"> Mining; Washington </w:t>
      </w:r>
      <w:proofErr w:type="spellStart"/>
      <w:r w:rsidRPr="004A76D7">
        <w:rPr>
          <w:rFonts w:ascii="Rockwell" w:eastAsia="Times New Roman" w:hAnsi="Rockwell" w:cs="Times New Roman"/>
          <w:sz w:val="24"/>
          <w:szCs w:val="24"/>
        </w:rPr>
        <w:t>Ayiemba</w:t>
      </w:r>
      <w:proofErr w:type="spellEnd"/>
      <w:r w:rsidRPr="004A76D7">
        <w:rPr>
          <w:rFonts w:ascii="Rockwell" w:eastAsia="Times New Roman" w:hAnsi="Rockwell" w:cs="Times New Roman"/>
          <w:sz w:val="24"/>
          <w:szCs w:val="24"/>
        </w:rPr>
        <w:t xml:space="preserve"> from the UNDP-Kenya; John </w:t>
      </w:r>
      <w:proofErr w:type="spellStart"/>
      <w:r w:rsidRPr="004A76D7">
        <w:rPr>
          <w:rFonts w:ascii="Rockwell" w:eastAsia="Times New Roman" w:hAnsi="Rockwell" w:cs="Times New Roman"/>
          <w:sz w:val="24"/>
          <w:szCs w:val="24"/>
        </w:rPr>
        <w:t>Waweru</w:t>
      </w:r>
      <w:proofErr w:type="spellEnd"/>
      <w:r w:rsidRPr="004A76D7">
        <w:rPr>
          <w:rFonts w:ascii="Rockwell" w:eastAsia="Times New Roman" w:hAnsi="Rockwell" w:cs="Times New Roman"/>
          <w:sz w:val="24"/>
          <w:szCs w:val="24"/>
        </w:rPr>
        <w:t xml:space="preserve"> from Directorate of Occupational Safety and Health Services (DOSHS); James </w:t>
      </w:r>
      <w:proofErr w:type="spellStart"/>
      <w:r w:rsidRPr="004A76D7">
        <w:rPr>
          <w:rFonts w:ascii="Rockwell" w:eastAsia="Times New Roman" w:hAnsi="Rockwell" w:cs="Times New Roman"/>
          <w:sz w:val="24"/>
          <w:szCs w:val="24"/>
        </w:rPr>
        <w:t>Mwenda</w:t>
      </w:r>
      <w:proofErr w:type="spellEnd"/>
      <w:r w:rsidRPr="004A76D7">
        <w:rPr>
          <w:rFonts w:ascii="Rockwell" w:eastAsia="Times New Roman" w:hAnsi="Rockwell" w:cs="Times New Roman"/>
          <w:sz w:val="24"/>
          <w:szCs w:val="24"/>
        </w:rPr>
        <w:t xml:space="preserve"> from Kenya National Commission on Human Rights (KNCHR); </w:t>
      </w:r>
      <w:r w:rsidR="00575A84">
        <w:rPr>
          <w:rFonts w:ascii="Rockwell" w:eastAsia="Times New Roman" w:hAnsi="Rockwell" w:cs="Times New Roman"/>
          <w:sz w:val="24"/>
          <w:szCs w:val="24"/>
        </w:rPr>
        <w:t xml:space="preserve">Griffins </w:t>
      </w:r>
      <w:proofErr w:type="spellStart"/>
      <w:r w:rsidR="00575A84">
        <w:rPr>
          <w:rFonts w:ascii="Rockwell" w:eastAsia="Times New Roman" w:hAnsi="Rockwell" w:cs="Times New Roman"/>
          <w:sz w:val="24"/>
          <w:szCs w:val="24"/>
        </w:rPr>
        <w:t>Ochieng</w:t>
      </w:r>
      <w:proofErr w:type="spellEnd"/>
      <w:r w:rsidR="00575A84">
        <w:rPr>
          <w:rFonts w:ascii="Rockwell" w:eastAsia="Times New Roman" w:hAnsi="Rockwell" w:cs="Times New Roman"/>
          <w:sz w:val="24"/>
          <w:szCs w:val="24"/>
        </w:rPr>
        <w:t xml:space="preserve"> and Lynette </w:t>
      </w:r>
      <w:proofErr w:type="spellStart"/>
      <w:r w:rsidR="00575A84">
        <w:rPr>
          <w:rFonts w:ascii="Rockwell" w:eastAsia="Times New Roman" w:hAnsi="Rockwell" w:cs="Times New Roman"/>
          <w:sz w:val="24"/>
          <w:szCs w:val="24"/>
        </w:rPr>
        <w:t>Ouya</w:t>
      </w:r>
      <w:proofErr w:type="spellEnd"/>
      <w:r w:rsidR="00575A84">
        <w:rPr>
          <w:rFonts w:ascii="Rockwell" w:eastAsia="Times New Roman" w:hAnsi="Rockwell" w:cs="Times New Roman"/>
          <w:sz w:val="24"/>
          <w:szCs w:val="24"/>
        </w:rPr>
        <w:t xml:space="preserve"> from Center for Environment Justic</w:t>
      </w:r>
      <w:r w:rsidR="00F324A6">
        <w:rPr>
          <w:rFonts w:ascii="Rockwell" w:eastAsia="Times New Roman" w:hAnsi="Rockwell" w:cs="Times New Roman"/>
          <w:sz w:val="24"/>
          <w:szCs w:val="24"/>
        </w:rPr>
        <w:t xml:space="preserve">e and Development (CEJAD); </w:t>
      </w:r>
      <w:r w:rsidRPr="004A76D7">
        <w:rPr>
          <w:rFonts w:ascii="Rockwell" w:eastAsia="Times New Roman" w:hAnsi="Rockwell" w:cs="Times New Roman"/>
          <w:sz w:val="24"/>
          <w:szCs w:val="24"/>
        </w:rPr>
        <w:t xml:space="preserve">Zephaniah Ouma, Oceanic </w:t>
      </w:r>
      <w:proofErr w:type="spellStart"/>
      <w:r w:rsidRPr="004A76D7">
        <w:rPr>
          <w:rFonts w:ascii="Rockwell" w:eastAsia="Times New Roman" w:hAnsi="Rockwell" w:cs="Times New Roman"/>
          <w:sz w:val="24"/>
          <w:szCs w:val="24"/>
        </w:rPr>
        <w:t>Sakwa</w:t>
      </w:r>
      <w:proofErr w:type="spellEnd"/>
      <w:r w:rsidRPr="004A76D7">
        <w:rPr>
          <w:rFonts w:ascii="Rockwell" w:eastAsia="Times New Roman" w:hAnsi="Rockwell" w:cs="Times New Roman"/>
          <w:sz w:val="24"/>
          <w:szCs w:val="24"/>
        </w:rPr>
        <w:t xml:space="preserve">, </w:t>
      </w:r>
      <w:proofErr w:type="spellStart"/>
      <w:r w:rsidRPr="004A76D7">
        <w:rPr>
          <w:rFonts w:ascii="Rockwell" w:eastAsia="Times New Roman" w:hAnsi="Rockwell" w:cs="Times New Roman"/>
          <w:sz w:val="24"/>
          <w:szCs w:val="24"/>
        </w:rPr>
        <w:t>Selelah</w:t>
      </w:r>
      <w:proofErr w:type="spellEnd"/>
      <w:r w:rsidRPr="004A76D7">
        <w:rPr>
          <w:rFonts w:ascii="Rockwell" w:eastAsia="Times New Roman" w:hAnsi="Rockwell" w:cs="Times New Roman"/>
          <w:sz w:val="24"/>
          <w:szCs w:val="24"/>
        </w:rPr>
        <w:t xml:space="preserve"> </w:t>
      </w:r>
      <w:proofErr w:type="spellStart"/>
      <w:r w:rsidRPr="004A76D7">
        <w:rPr>
          <w:rFonts w:ascii="Rockwell" w:eastAsia="Times New Roman" w:hAnsi="Rockwell" w:cs="Times New Roman"/>
          <w:sz w:val="24"/>
          <w:szCs w:val="24"/>
        </w:rPr>
        <w:t>Okoth</w:t>
      </w:r>
      <w:proofErr w:type="spellEnd"/>
      <w:r w:rsidRPr="004A76D7">
        <w:rPr>
          <w:rFonts w:ascii="Rockwell" w:eastAsia="Times New Roman" w:hAnsi="Rockwell" w:cs="Times New Roman"/>
          <w:sz w:val="24"/>
          <w:szCs w:val="24"/>
        </w:rPr>
        <w:t xml:space="preserve">, Reagan </w:t>
      </w:r>
      <w:proofErr w:type="spellStart"/>
      <w:r w:rsidRPr="004A76D7">
        <w:rPr>
          <w:rFonts w:ascii="Rockwell" w:eastAsia="Times New Roman" w:hAnsi="Rockwell" w:cs="Times New Roman"/>
          <w:sz w:val="24"/>
          <w:szCs w:val="24"/>
        </w:rPr>
        <w:t>Awino</w:t>
      </w:r>
      <w:proofErr w:type="spellEnd"/>
      <w:r w:rsidRPr="004A76D7">
        <w:rPr>
          <w:rFonts w:ascii="Rockwell" w:eastAsia="Times New Roman" w:hAnsi="Rockwell" w:cs="Times New Roman"/>
          <w:sz w:val="24"/>
          <w:szCs w:val="24"/>
        </w:rPr>
        <w:t xml:space="preserve">, Anne </w:t>
      </w:r>
      <w:proofErr w:type="spellStart"/>
      <w:r w:rsidRPr="004A76D7">
        <w:rPr>
          <w:rFonts w:ascii="Rockwell" w:eastAsia="Times New Roman" w:hAnsi="Rockwell" w:cs="Times New Roman"/>
          <w:sz w:val="24"/>
          <w:szCs w:val="24"/>
        </w:rPr>
        <w:t>Owino</w:t>
      </w:r>
      <w:proofErr w:type="spellEnd"/>
      <w:r w:rsidRPr="004A76D7">
        <w:rPr>
          <w:rFonts w:ascii="Rockwell" w:eastAsia="Times New Roman" w:hAnsi="Rockwell" w:cs="Times New Roman"/>
          <w:sz w:val="24"/>
          <w:szCs w:val="24"/>
        </w:rPr>
        <w:t xml:space="preserve">, </w:t>
      </w:r>
      <w:proofErr w:type="spellStart"/>
      <w:r w:rsidRPr="004A76D7">
        <w:rPr>
          <w:rFonts w:ascii="Rockwell" w:eastAsia="Times New Roman" w:hAnsi="Rockwell" w:cs="Times New Roman"/>
          <w:sz w:val="24"/>
          <w:szCs w:val="24"/>
        </w:rPr>
        <w:t>Ly</w:t>
      </w:r>
      <w:r w:rsidR="00D233E1">
        <w:rPr>
          <w:rFonts w:ascii="Rockwell" w:eastAsia="Times New Roman" w:hAnsi="Rockwell" w:cs="Times New Roman"/>
          <w:sz w:val="24"/>
          <w:szCs w:val="24"/>
        </w:rPr>
        <w:t>nnete</w:t>
      </w:r>
      <w:proofErr w:type="spellEnd"/>
      <w:r w:rsidR="00D233E1">
        <w:rPr>
          <w:rFonts w:ascii="Rockwell" w:eastAsia="Times New Roman" w:hAnsi="Rockwell" w:cs="Times New Roman"/>
          <w:sz w:val="24"/>
          <w:szCs w:val="24"/>
        </w:rPr>
        <w:t xml:space="preserve"> </w:t>
      </w:r>
      <w:proofErr w:type="spellStart"/>
      <w:r w:rsidR="00D233E1">
        <w:rPr>
          <w:rFonts w:ascii="Rockwell" w:eastAsia="Times New Roman" w:hAnsi="Rockwell" w:cs="Times New Roman"/>
          <w:sz w:val="24"/>
          <w:szCs w:val="24"/>
        </w:rPr>
        <w:t>Cheruiyot</w:t>
      </w:r>
      <w:proofErr w:type="spellEnd"/>
      <w:r w:rsidR="00D233E1">
        <w:rPr>
          <w:rFonts w:ascii="Rockwell" w:eastAsia="Times New Roman" w:hAnsi="Rockwell" w:cs="Times New Roman"/>
          <w:sz w:val="24"/>
          <w:szCs w:val="24"/>
        </w:rPr>
        <w:t xml:space="preserve">, </w:t>
      </w:r>
      <w:proofErr w:type="spellStart"/>
      <w:r w:rsidR="00D233E1">
        <w:rPr>
          <w:rFonts w:ascii="Rockwell" w:eastAsia="Times New Roman" w:hAnsi="Rockwell" w:cs="Times New Roman"/>
          <w:sz w:val="24"/>
          <w:szCs w:val="24"/>
        </w:rPr>
        <w:t>Phelish</w:t>
      </w:r>
      <w:r w:rsidR="00222855">
        <w:rPr>
          <w:rFonts w:ascii="Rockwell" w:eastAsia="Times New Roman" w:hAnsi="Rockwell" w:cs="Times New Roman"/>
          <w:sz w:val="24"/>
          <w:szCs w:val="24"/>
        </w:rPr>
        <w:t>ia</w:t>
      </w:r>
      <w:proofErr w:type="spellEnd"/>
      <w:r w:rsidR="00222855">
        <w:rPr>
          <w:rFonts w:ascii="Rockwell" w:eastAsia="Times New Roman" w:hAnsi="Rockwell" w:cs="Times New Roman"/>
          <w:sz w:val="24"/>
          <w:szCs w:val="24"/>
        </w:rPr>
        <w:t xml:space="preserve"> </w:t>
      </w:r>
      <w:proofErr w:type="spellStart"/>
      <w:r w:rsidR="00222855">
        <w:rPr>
          <w:rFonts w:ascii="Rockwell" w:eastAsia="Times New Roman" w:hAnsi="Rockwell" w:cs="Times New Roman"/>
          <w:sz w:val="24"/>
          <w:szCs w:val="24"/>
        </w:rPr>
        <w:t>Achieng</w:t>
      </w:r>
      <w:proofErr w:type="spellEnd"/>
      <w:r w:rsidRPr="004A76D7">
        <w:rPr>
          <w:rFonts w:ascii="Rockwell" w:eastAsia="Times New Roman" w:hAnsi="Rockwell" w:cs="Times New Roman"/>
          <w:sz w:val="24"/>
          <w:szCs w:val="24"/>
        </w:rPr>
        <w:t xml:space="preserve"> and Nancy </w:t>
      </w:r>
      <w:proofErr w:type="spellStart"/>
      <w:r w:rsidRPr="004A76D7">
        <w:rPr>
          <w:rFonts w:ascii="Rockwell" w:eastAsia="Times New Roman" w:hAnsi="Rockwell" w:cs="Times New Roman"/>
          <w:sz w:val="24"/>
          <w:szCs w:val="24"/>
        </w:rPr>
        <w:t>Osugo</w:t>
      </w:r>
      <w:proofErr w:type="spellEnd"/>
      <w:r w:rsidRPr="004A76D7">
        <w:rPr>
          <w:rFonts w:ascii="Rockwell" w:eastAsia="Times New Roman" w:hAnsi="Rockwell" w:cs="Times New Roman"/>
          <w:sz w:val="24"/>
          <w:szCs w:val="24"/>
        </w:rPr>
        <w:t xml:space="preserve"> all from the National Environment Management Authority (NEMA).</w:t>
      </w:r>
      <w:r w:rsidR="002B72BE">
        <w:rPr>
          <w:rFonts w:ascii="Rockwell" w:eastAsia="Times New Roman" w:hAnsi="Rockwell" w:cs="Times New Roman"/>
          <w:sz w:val="24"/>
          <w:szCs w:val="24"/>
        </w:rPr>
        <w:t xml:space="preserve"> I equally appreciate the support from NEMA Board of Management who provided</w:t>
      </w:r>
      <w:r w:rsidRPr="004A76D7">
        <w:rPr>
          <w:rFonts w:ascii="Rockwell" w:eastAsia="Times New Roman" w:hAnsi="Rockwell" w:cs="Times New Roman"/>
          <w:sz w:val="24"/>
          <w:szCs w:val="24"/>
        </w:rPr>
        <w:t xml:space="preserve"> substantive guidance, advice and managerial assistance and support throughout the process.</w:t>
      </w:r>
    </w:p>
    <w:p w:rsidR="006822F2" w:rsidRPr="004A76D7" w:rsidRDefault="00AD5D8B"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It is my hope that the National Guidelines for the Environmental Deposit Bonds for the Mining Sector in Kenya will provide a viable and practical application of the environmental financial assurance framework for the bond payment system. This will ensure that the process of mine closure and decommissioning is not burdensome and unbearable for the mine operators, the public and the regulators at the end of a mine life. I urge the policy makers, lead agencies, experts and the mining sector players to make good use of these Guidelines.</w:t>
      </w:r>
    </w:p>
    <w:p w:rsidR="006822F2" w:rsidRPr="004A76D7" w:rsidRDefault="00AD5D8B"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The National Guidelines for the Environmental Deposit Bonds for the Mining Sector in Kenya is a living document that will undergo review and continuous improvement, from time to time with focus on the emerging issues during the life of a mine. The Guideline is not meant to replace the various existing regulatory frameworks in the mining sector and protection of the environment but to enhance them for the better management of the environment.</w:t>
      </w:r>
    </w:p>
    <w:p w:rsidR="006822F2" w:rsidRPr="004A76D7" w:rsidRDefault="00AD5D8B" w:rsidP="000E7DFC">
      <w:pPr>
        <w:spacing w:before="240" w:after="240"/>
        <w:jc w:val="both"/>
        <w:rPr>
          <w:rFonts w:ascii="Rockwell" w:eastAsia="Times New Roman" w:hAnsi="Rockwell" w:cs="Times New Roman"/>
          <w:b/>
          <w:sz w:val="24"/>
          <w:szCs w:val="24"/>
        </w:rPr>
      </w:pPr>
      <w:r w:rsidRPr="004A76D7">
        <w:rPr>
          <w:rFonts w:ascii="Rockwell" w:eastAsia="Times New Roman" w:hAnsi="Rockwell" w:cs="Times New Roman"/>
          <w:b/>
          <w:sz w:val="24"/>
          <w:szCs w:val="24"/>
        </w:rPr>
        <w:t xml:space="preserve">  </w:t>
      </w:r>
    </w:p>
    <w:p w:rsidR="006822F2" w:rsidRPr="004A76D7" w:rsidRDefault="00575A84" w:rsidP="000E7DFC">
      <w:pPr>
        <w:spacing w:before="240" w:after="240"/>
        <w:jc w:val="both"/>
        <w:rPr>
          <w:rFonts w:ascii="Rockwell" w:eastAsia="Times New Roman" w:hAnsi="Rockwell" w:cs="Times New Roman"/>
          <w:b/>
          <w:sz w:val="24"/>
          <w:szCs w:val="24"/>
        </w:rPr>
      </w:pPr>
      <w:r>
        <w:rPr>
          <w:rFonts w:ascii="Rockwell" w:eastAsia="Times New Roman" w:hAnsi="Rockwell" w:cs="Times New Roman"/>
          <w:b/>
          <w:sz w:val="24"/>
          <w:szCs w:val="24"/>
        </w:rPr>
        <w:t xml:space="preserve">Dr. </w:t>
      </w:r>
      <w:proofErr w:type="spellStart"/>
      <w:r w:rsidR="00AD5D8B" w:rsidRPr="004A76D7">
        <w:rPr>
          <w:rFonts w:ascii="Rockwell" w:eastAsia="Times New Roman" w:hAnsi="Rockwell" w:cs="Times New Roman"/>
          <w:b/>
          <w:sz w:val="24"/>
          <w:szCs w:val="24"/>
        </w:rPr>
        <w:t>Mamo</w:t>
      </w:r>
      <w:proofErr w:type="spellEnd"/>
      <w:r w:rsidR="00AD5D8B" w:rsidRPr="004A76D7">
        <w:rPr>
          <w:rFonts w:ascii="Rockwell" w:eastAsia="Times New Roman" w:hAnsi="Rockwell" w:cs="Times New Roman"/>
          <w:b/>
          <w:sz w:val="24"/>
          <w:szCs w:val="24"/>
        </w:rPr>
        <w:t xml:space="preserve"> B. </w:t>
      </w:r>
      <w:proofErr w:type="spellStart"/>
      <w:r w:rsidR="00AD5D8B" w:rsidRPr="004A76D7">
        <w:rPr>
          <w:rFonts w:ascii="Rockwell" w:eastAsia="Times New Roman" w:hAnsi="Rockwell" w:cs="Times New Roman"/>
          <w:b/>
          <w:sz w:val="24"/>
          <w:szCs w:val="24"/>
        </w:rPr>
        <w:t>Mamo</w:t>
      </w:r>
      <w:proofErr w:type="spellEnd"/>
      <w:r w:rsidR="00AD5D8B" w:rsidRPr="004A76D7">
        <w:rPr>
          <w:rFonts w:ascii="Rockwell" w:eastAsia="Times New Roman" w:hAnsi="Rockwell" w:cs="Times New Roman"/>
          <w:b/>
          <w:sz w:val="24"/>
          <w:szCs w:val="24"/>
        </w:rPr>
        <w:t>,</w:t>
      </w:r>
      <w:r>
        <w:rPr>
          <w:rFonts w:ascii="Rockwell" w:eastAsia="Times New Roman" w:hAnsi="Rockwell" w:cs="Times New Roman"/>
          <w:b/>
          <w:sz w:val="24"/>
          <w:szCs w:val="24"/>
        </w:rPr>
        <w:t xml:space="preserve"> </w:t>
      </w:r>
      <w:r w:rsidR="00AD5D8B" w:rsidRPr="004A76D7">
        <w:rPr>
          <w:rFonts w:ascii="Rockwell" w:eastAsia="Times New Roman" w:hAnsi="Rockwell" w:cs="Times New Roman"/>
          <w:b/>
          <w:sz w:val="24"/>
          <w:szCs w:val="24"/>
        </w:rPr>
        <w:t>EBS</w:t>
      </w:r>
    </w:p>
    <w:p w:rsidR="006822F2" w:rsidRPr="004A76D7" w:rsidRDefault="00AD5D8B" w:rsidP="000E7DFC">
      <w:pPr>
        <w:spacing w:before="240" w:after="240"/>
        <w:jc w:val="both"/>
        <w:rPr>
          <w:rFonts w:ascii="Rockwell" w:eastAsia="Times New Roman" w:hAnsi="Rockwell" w:cs="Times New Roman"/>
          <w:b/>
          <w:sz w:val="24"/>
          <w:szCs w:val="24"/>
        </w:rPr>
      </w:pPr>
      <w:r w:rsidRPr="004A76D7">
        <w:rPr>
          <w:rFonts w:ascii="Rockwell" w:eastAsia="Times New Roman" w:hAnsi="Rockwell" w:cs="Times New Roman"/>
          <w:b/>
          <w:sz w:val="24"/>
          <w:szCs w:val="24"/>
        </w:rPr>
        <w:t>Director General,</w:t>
      </w:r>
    </w:p>
    <w:p w:rsidR="006822F2" w:rsidRPr="004A76D7" w:rsidRDefault="00AD5D8B" w:rsidP="000E7DFC">
      <w:pPr>
        <w:spacing w:before="240" w:after="240"/>
        <w:jc w:val="both"/>
        <w:rPr>
          <w:rFonts w:ascii="Rockwell" w:eastAsia="Times New Roman" w:hAnsi="Rockwell" w:cs="Times New Roman"/>
          <w:b/>
          <w:sz w:val="24"/>
          <w:szCs w:val="24"/>
        </w:rPr>
      </w:pPr>
      <w:r w:rsidRPr="004A76D7">
        <w:rPr>
          <w:rFonts w:ascii="Rockwell" w:eastAsia="Times New Roman" w:hAnsi="Rockwell" w:cs="Times New Roman"/>
          <w:b/>
          <w:sz w:val="24"/>
          <w:szCs w:val="24"/>
        </w:rPr>
        <w:t>National Environment Management Authority</w:t>
      </w:r>
    </w:p>
    <w:p w:rsidR="006822F2" w:rsidRDefault="006822F2" w:rsidP="000E7DFC">
      <w:pPr>
        <w:spacing w:before="240" w:after="240"/>
        <w:jc w:val="both"/>
        <w:rPr>
          <w:rFonts w:ascii="Rockwell" w:eastAsia="Times New Roman" w:hAnsi="Rockwell" w:cs="Times New Roman"/>
          <w:b/>
          <w:sz w:val="24"/>
          <w:szCs w:val="24"/>
        </w:rPr>
      </w:pPr>
    </w:p>
    <w:p w:rsidR="00243ED1" w:rsidRDefault="00243ED1" w:rsidP="000E7DFC">
      <w:pPr>
        <w:spacing w:before="240" w:after="240"/>
        <w:jc w:val="both"/>
        <w:rPr>
          <w:rFonts w:ascii="Rockwell" w:eastAsia="Times New Roman" w:hAnsi="Rockwell" w:cs="Times New Roman"/>
          <w:b/>
          <w:sz w:val="24"/>
          <w:szCs w:val="24"/>
        </w:rPr>
      </w:pPr>
    </w:p>
    <w:p w:rsidR="006822F2" w:rsidRPr="004A76D7" w:rsidRDefault="00AD5D8B" w:rsidP="000E7DFC">
      <w:pPr>
        <w:spacing w:before="240" w:after="160"/>
        <w:jc w:val="both"/>
        <w:rPr>
          <w:rFonts w:ascii="Rockwell" w:eastAsia="Times New Roman" w:hAnsi="Rockwell" w:cs="Times New Roman"/>
          <w:b/>
          <w:sz w:val="24"/>
          <w:szCs w:val="24"/>
        </w:rPr>
      </w:pPr>
      <w:r w:rsidRPr="004A76D7">
        <w:rPr>
          <w:rFonts w:ascii="Rockwell" w:eastAsia="Times New Roman" w:hAnsi="Rockwell" w:cs="Times New Roman"/>
          <w:b/>
          <w:sz w:val="24"/>
          <w:szCs w:val="24"/>
        </w:rPr>
        <w:t>TABLE OF CONTENT</w:t>
      </w:r>
    </w:p>
    <w:sdt>
      <w:sdtPr>
        <w:rPr>
          <w:rFonts w:ascii="Rockwell" w:eastAsia="Arial" w:hAnsi="Rockwell" w:cs="Arial"/>
          <w:color w:val="auto"/>
          <w:sz w:val="24"/>
          <w:szCs w:val="24"/>
          <w:lang w:val="en"/>
        </w:rPr>
        <w:id w:val="1415966838"/>
        <w:docPartObj>
          <w:docPartGallery w:val="Table of Contents"/>
          <w:docPartUnique/>
        </w:docPartObj>
      </w:sdtPr>
      <w:sdtEndPr>
        <w:rPr>
          <w:bCs/>
          <w:noProof/>
        </w:rPr>
      </w:sdtEndPr>
      <w:sdtContent>
        <w:p w:rsidR="0056182D" w:rsidRPr="004A76D7" w:rsidRDefault="0056182D" w:rsidP="000E7DFC">
          <w:pPr>
            <w:pStyle w:val="TOCHeading"/>
            <w:spacing w:line="276" w:lineRule="auto"/>
            <w:jc w:val="both"/>
            <w:rPr>
              <w:rFonts w:ascii="Rockwell" w:hAnsi="Rockwell"/>
              <w:sz w:val="24"/>
              <w:szCs w:val="24"/>
            </w:rPr>
          </w:pPr>
        </w:p>
        <w:p w:rsidR="006C4A9B" w:rsidRDefault="0056182D">
          <w:pPr>
            <w:pStyle w:val="TOC1"/>
            <w:tabs>
              <w:tab w:val="right" w:leader="dot" w:pos="9062"/>
            </w:tabs>
            <w:rPr>
              <w:rFonts w:asciiTheme="minorHAnsi" w:eastAsiaTheme="minorEastAsia" w:hAnsiTheme="minorHAnsi" w:cstheme="minorBidi"/>
              <w:noProof/>
              <w:lang w:val="en-US"/>
            </w:rPr>
          </w:pPr>
          <w:r w:rsidRPr="004A76D7">
            <w:rPr>
              <w:rFonts w:ascii="Rockwell" w:hAnsi="Rockwell"/>
              <w:sz w:val="24"/>
              <w:szCs w:val="24"/>
            </w:rPr>
            <w:fldChar w:fldCharType="begin"/>
          </w:r>
          <w:r w:rsidRPr="004A76D7">
            <w:rPr>
              <w:rFonts w:ascii="Rockwell" w:hAnsi="Rockwell"/>
              <w:sz w:val="24"/>
              <w:szCs w:val="24"/>
            </w:rPr>
            <w:instrText xml:space="preserve"> TOC \o "1-3" \h \z \u </w:instrText>
          </w:r>
          <w:r w:rsidRPr="004A76D7">
            <w:rPr>
              <w:rFonts w:ascii="Rockwell" w:hAnsi="Rockwell"/>
              <w:sz w:val="24"/>
              <w:szCs w:val="24"/>
            </w:rPr>
            <w:fldChar w:fldCharType="separate"/>
          </w:r>
          <w:hyperlink w:anchor="_Toc209047089" w:history="1">
            <w:r w:rsidR="006C4A9B" w:rsidRPr="007179FC">
              <w:rPr>
                <w:rStyle w:val="Hyperlink"/>
                <w:rFonts w:ascii="Rockwell" w:eastAsia="Times New Roman" w:hAnsi="Rockwell" w:cs="Times New Roman"/>
                <w:b/>
                <w:noProof/>
              </w:rPr>
              <w:t>Executive Summary</w:t>
            </w:r>
            <w:r w:rsidR="006C4A9B">
              <w:rPr>
                <w:noProof/>
                <w:webHidden/>
              </w:rPr>
              <w:tab/>
            </w:r>
            <w:r w:rsidR="006C4A9B">
              <w:rPr>
                <w:noProof/>
                <w:webHidden/>
              </w:rPr>
              <w:fldChar w:fldCharType="begin"/>
            </w:r>
            <w:r w:rsidR="006C4A9B">
              <w:rPr>
                <w:noProof/>
                <w:webHidden/>
              </w:rPr>
              <w:instrText xml:space="preserve"> PAGEREF _Toc209047089 \h </w:instrText>
            </w:r>
            <w:r w:rsidR="006C4A9B">
              <w:rPr>
                <w:noProof/>
                <w:webHidden/>
              </w:rPr>
            </w:r>
            <w:r w:rsidR="006C4A9B">
              <w:rPr>
                <w:noProof/>
                <w:webHidden/>
              </w:rPr>
              <w:fldChar w:fldCharType="separate"/>
            </w:r>
            <w:r w:rsidR="006C4A9B">
              <w:rPr>
                <w:noProof/>
                <w:webHidden/>
              </w:rPr>
              <w:t>2</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090" w:history="1">
            <w:r w:rsidR="006C4A9B" w:rsidRPr="007179FC">
              <w:rPr>
                <w:rStyle w:val="Hyperlink"/>
                <w:rFonts w:ascii="Rockwell" w:eastAsia="Times New Roman" w:hAnsi="Rockwell" w:cs="Times New Roman"/>
                <w:b/>
                <w:noProof/>
              </w:rPr>
              <w:t>Foreword</w:t>
            </w:r>
            <w:r w:rsidR="006C4A9B">
              <w:rPr>
                <w:noProof/>
                <w:webHidden/>
              </w:rPr>
              <w:tab/>
            </w:r>
            <w:r w:rsidR="006C4A9B">
              <w:rPr>
                <w:noProof/>
                <w:webHidden/>
              </w:rPr>
              <w:fldChar w:fldCharType="begin"/>
            </w:r>
            <w:r w:rsidR="006C4A9B">
              <w:rPr>
                <w:noProof/>
                <w:webHidden/>
              </w:rPr>
              <w:instrText xml:space="preserve"> PAGEREF _Toc209047090 \h </w:instrText>
            </w:r>
            <w:r w:rsidR="006C4A9B">
              <w:rPr>
                <w:noProof/>
                <w:webHidden/>
              </w:rPr>
            </w:r>
            <w:r w:rsidR="006C4A9B">
              <w:rPr>
                <w:noProof/>
                <w:webHidden/>
              </w:rPr>
              <w:fldChar w:fldCharType="separate"/>
            </w:r>
            <w:r w:rsidR="006C4A9B">
              <w:rPr>
                <w:noProof/>
                <w:webHidden/>
              </w:rPr>
              <w:t>3</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091" w:history="1">
            <w:r w:rsidR="006C4A9B" w:rsidRPr="007179FC">
              <w:rPr>
                <w:rStyle w:val="Hyperlink"/>
                <w:rFonts w:ascii="Rockwell" w:eastAsia="Times New Roman" w:hAnsi="Rockwell" w:cs="Times New Roman"/>
                <w:b/>
                <w:noProof/>
              </w:rPr>
              <w:t>Acknowledgement</w:t>
            </w:r>
            <w:r w:rsidR="006C4A9B">
              <w:rPr>
                <w:noProof/>
                <w:webHidden/>
              </w:rPr>
              <w:tab/>
            </w:r>
            <w:r w:rsidR="006C4A9B">
              <w:rPr>
                <w:noProof/>
                <w:webHidden/>
              </w:rPr>
              <w:fldChar w:fldCharType="begin"/>
            </w:r>
            <w:r w:rsidR="006C4A9B">
              <w:rPr>
                <w:noProof/>
                <w:webHidden/>
              </w:rPr>
              <w:instrText xml:space="preserve"> PAGEREF _Toc209047091 \h </w:instrText>
            </w:r>
            <w:r w:rsidR="006C4A9B">
              <w:rPr>
                <w:noProof/>
                <w:webHidden/>
              </w:rPr>
            </w:r>
            <w:r w:rsidR="006C4A9B">
              <w:rPr>
                <w:noProof/>
                <w:webHidden/>
              </w:rPr>
              <w:fldChar w:fldCharType="separate"/>
            </w:r>
            <w:r w:rsidR="006C4A9B">
              <w:rPr>
                <w:noProof/>
                <w:webHidden/>
              </w:rPr>
              <w:t>4</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092" w:history="1">
            <w:r w:rsidR="006C4A9B" w:rsidRPr="007179FC">
              <w:rPr>
                <w:rStyle w:val="Hyperlink"/>
                <w:rFonts w:ascii="Rockwell" w:eastAsia="Times New Roman" w:hAnsi="Rockwell" w:cs="Times New Roman"/>
                <w:b/>
                <w:noProof/>
              </w:rPr>
              <w:t>Definition of Terms</w:t>
            </w:r>
            <w:r w:rsidR="006C4A9B">
              <w:rPr>
                <w:noProof/>
                <w:webHidden/>
              </w:rPr>
              <w:tab/>
            </w:r>
            <w:r w:rsidR="006C4A9B">
              <w:rPr>
                <w:noProof/>
                <w:webHidden/>
              </w:rPr>
              <w:fldChar w:fldCharType="begin"/>
            </w:r>
            <w:r w:rsidR="006C4A9B">
              <w:rPr>
                <w:noProof/>
                <w:webHidden/>
              </w:rPr>
              <w:instrText xml:space="preserve"> PAGEREF _Toc209047092 \h </w:instrText>
            </w:r>
            <w:r w:rsidR="006C4A9B">
              <w:rPr>
                <w:noProof/>
                <w:webHidden/>
              </w:rPr>
            </w:r>
            <w:r w:rsidR="006C4A9B">
              <w:rPr>
                <w:noProof/>
                <w:webHidden/>
              </w:rPr>
              <w:fldChar w:fldCharType="separate"/>
            </w:r>
            <w:r w:rsidR="006C4A9B">
              <w:rPr>
                <w:noProof/>
                <w:webHidden/>
              </w:rPr>
              <w:t>9</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093" w:history="1">
            <w:r w:rsidR="006C4A9B" w:rsidRPr="007179FC">
              <w:rPr>
                <w:rStyle w:val="Hyperlink"/>
                <w:rFonts w:ascii="Rockwell" w:eastAsia="Times New Roman" w:hAnsi="Rockwell" w:cs="Times New Roman"/>
                <w:b/>
                <w:noProof/>
              </w:rPr>
              <w:t>Chapter One: Introduction</w:t>
            </w:r>
            <w:r w:rsidR="006C4A9B">
              <w:rPr>
                <w:noProof/>
                <w:webHidden/>
              </w:rPr>
              <w:tab/>
            </w:r>
            <w:r w:rsidR="006C4A9B">
              <w:rPr>
                <w:noProof/>
                <w:webHidden/>
              </w:rPr>
              <w:fldChar w:fldCharType="begin"/>
            </w:r>
            <w:r w:rsidR="006C4A9B">
              <w:rPr>
                <w:noProof/>
                <w:webHidden/>
              </w:rPr>
              <w:instrText xml:space="preserve"> PAGEREF _Toc209047093 \h </w:instrText>
            </w:r>
            <w:r w:rsidR="006C4A9B">
              <w:rPr>
                <w:noProof/>
                <w:webHidden/>
              </w:rPr>
            </w:r>
            <w:r w:rsidR="006C4A9B">
              <w:rPr>
                <w:noProof/>
                <w:webHidden/>
              </w:rPr>
              <w:fldChar w:fldCharType="separate"/>
            </w:r>
            <w:r w:rsidR="006C4A9B">
              <w:rPr>
                <w:noProof/>
                <w:webHidden/>
              </w:rPr>
              <w:t>12</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094" w:history="1">
            <w:r w:rsidR="006C4A9B" w:rsidRPr="007179FC">
              <w:rPr>
                <w:rStyle w:val="Hyperlink"/>
                <w:rFonts w:ascii="Rockwell" w:eastAsia="Times New Roman" w:hAnsi="Rockwell" w:cs="Times New Roman"/>
                <w:b/>
                <w:noProof/>
              </w:rPr>
              <w:t>1.1 Background</w:t>
            </w:r>
            <w:r w:rsidR="006C4A9B">
              <w:rPr>
                <w:noProof/>
                <w:webHidden/>
              </w:rPr>
              <w:tab/>
            </w:r>
            <w:r w:rsidR="006C4A9B">
              <w:rPr>
                <w:noProof/>
                <w:webHidden/>
              </w:rPr>
              <w:fldChar w:fldCharType="begin"/>
            </w:r>
            <w:r w:rsidR="006C4A9B">
              <w:rPr>
                <w:noProof/>
                <w:webHidden/>
              </w:rPr>
              <w:instrText xml:space="preserve"> PAGEREF _Toc209047094 \h </w:instrText>
            </w:r>
            <w:r w:rsidR="006C4A9B">
              <w:rPr>
                <w:noProof/>
                <w:webHidden/>
              </w:rPr>
            </w:r>
            <w:r w:rsidR="006C4A9B">
              <w:rPr>
                <w:noProof/>
                <w:webHidden/>
              </w:rPr>
              <w:fldChar w:fldCharType="separate"/>
            </w:r>
            <w:r w:rsidR="006C4A9B">
              <w:rPr>
                <w:noProof/>
                <w:webHidden/>
              </w:rPr>
              <w:t>12</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095" w:history="1">
            <w:r w:rsidR="006C4A9B" w:rsidRPr="007179FC">
              <w:rPr>
                <w:rStyle w:val="Hyperlink"/>
                <w:rFonts w:ascii="Rockwell" w:eastAsia="Times New Roman" w:hAnsi="Rockwell" w:cs="Times New Roman"/>
                <w:b/>
                <w:noProof/>
              </w:rPr>
              <w:t>1.2 Rationale</w:t>
            </w:r>
            <w:r w:rsidR="006C4A9B">
              <w:rPr>
                <w:noProof/>
                <w:webHidden/>
              </w:rPr>
              <w:tab/>
            </w:r>
            <w:r w:rsidR="006C4A9B">
              <w:rPr>
                <w:noProof/>
                <w:webHidden/>
              </w:rPr>
              <w:fldChar w:fldCharType="begin"/>
            </w:r>
            <w:r w:rsidR="006C4A9B">
              <w:rPr>
                <w:noProof/>
                <w:webHidden/>
              </w:rPr>
              <w:instrText xml:space="preserve"> PAGEREF _Toc209047095 \h </w:instrText>
            </w:r>
            <w:r w:rsidR="006C4A9B">
              <w:rPr>
                <w:noProof/>
                <w:webHidden/>
              </w:rPr>
            </w:r>
            <w:r w:rsidR="006C4A9B">
              <w:rPr>
                <w:noProof/>
                <w:webHidden/>
              </w:rPr>
              <w:fldChar w:fldCharType="separate"/>
            </w:r>
            <w:r w:rsidR="006C4A9B">
              <w:rPr>
                <w:noProof/>
                <w:webHidden/>
              </w:rPr>
              <w:t>13</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096" w:history="1">
            <w:r w:rsidR="006C4A9B" w:rsidRPr="007179FC">
              <w:rPr>
                <w:rStyle w:val="Hyperlink"/>
                <w:rFonts w:ascii="Rockwell" w:eastAsia="Times New Roman" w:hAnsi="Rockwell" w:cs="Times New Roman"/>
                <w:b/>
                <w:noProof/>
              </w:rPr>
              <w:t>1.3 Objectives</w:t>
            </w:r>
            <w:r w:rsidR="006C4A9B">
              <w:rPr>
                <w:noProof/>
                <w:webHidden/>
              </w:rPr>
              <w:tab/>
            </w:r>
            <w:r w:rsidR="006C4A9B">
              <w:rPr>
                <w:noProof/>
                <w:webHidden/>
              </w:rPr>
              <w:fldChar w:fldCharType="begin"/>
            </w:r>
            <w:r w:rsidR="006C4A9B">
              <w:rPr>
                <w:noProof/>
                <w:webHidden/>
              </w:rPr>
              <w:instrText xml:space="preserve"> PAGEREF _Toc209047096 \h </w:instrText>
            </w:r>
            <w:r w:rsidR="006C4A9B">
              <w:rPr>
                <w:noProof/>
                <w:webHidden/>
              </w:rPr>
            </w:r>
            <w:r w:rsidR="006C4A9B">
              <w:rPr>
                <w:noProof/>
                <w:webHidden/>
              </w:rPr>
              <w:fldChar w:fldCharType="separate"/>
            </w:r>
            <w:r w:rsidR="006C4A9B">
              <w:rPr>
                <w:noProof/>
                <w:webHidden/>
              </w:rPr>
              <w:t>14</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097" w:history="1">
            <w:r w:rsidR="006C4A9B" w:rsidRPr="007179FC">
              <w:rPr>
                <w:rStyle w:val="Hyperlink"/>
                <w:rFonts w:ascii="Rockwell" w:eastAsia="Times New Roman" w:hAnsi="Rockwell" w:cs="Times New Roman"/>
                <w:b/>
                <w:noProof/>
              </w:rPr>
              <w:t>1.4 Scope</w:t>
            </w:r>
            <w:r w:rsidR="006C4A9B">
              <w:rPr>
                <w:noProof/>
                <w:webHidden/>
              </w:rPr>
              <w:tab/>
            </w:r>
            <w:r w:rsidR="006C4A9B">
              <w:rPr>
                <w:noProof/>
                <w:webHidden/>
              </w:rPr>
              <w:fldChar w:fldCharType="begin"/>
            </w:r>
            <w:r w:rsidR="006C4A9B">
              <w:rPr>
                <w:noProof/>
                <w:webHidden/>
              </w:rPr>
              <w:instrText xml:space="preserve"> PAGEREF _Toc209047097 \h </w:instrText>
            </w:r>
            <w:r w:rsidR="006C4A9B">
              <w:rPr>
                <w:noProof/>
                <w:webHidden/>
              </w:rPr>
            </w:r>
            <w:r w:rsidR="006C4A9B">
              <w:rPr>
                <w:noProof/>
                <w:webHidden/>
              </w:rPr>
              <w:fldChar w:fldCharType="separate"/>
            </w:r>
            <w:r w:rsidR="006C4A9B">
              <w:rPr>
                <w:noProof/>
                <w:webHidden/>
              </w:rPr>
              <w:t>15</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098" w:history="1">
            <w:r w:rsidR="006C4A9B" w:rsidRPr="007179FC">
              <w:rPr>
                <w:rStyle w:val="Hyperlink"/>
                <w:rFonts w:ascii="Rockwell" w:eastAsia="Times New Roman" w:hAnsi="Rockwell" w:cs="Times New Roman"/>
                <w:b/>
                <w:noProof/>
              </w:rPr>
              <w:t>1.5 Review and update of the guidelines</w:t>
            </w:r>
            <w:r w:rsidR="006C4A9B">
              <w:rPr>
                <w:noProof/>
                <w:webHidden/>
              </w:rPr>
              <w:tab/>
            </w:r>
            <w:r w:rsidR="006C4A9B">
              <w:rPr>
                <w:noProof/>
                <w:webHidden/>
              </w:rPr>
              <w:fldChar w:fldCharType="begin"/>
            </w:r>
            <w:r w:rsidR="006C4A9B">
              <w:rPr>
                <w:noProof/>
                <w:webHidden/>
              </w:rPr>
              <w:instrText xml:space="preserve"> PAGEREF _Toc209047098 \h </w:instrText>
            </w:r>
            <w:r w:rsidR="006C4A9B">
              <w:rPr>
                <w:noProof/>
                <w:webHidden/>
              </w:rPr>
            </w:r>
            <w:r w:rsidR="006C4A9B">
              <w:rPr>
                <w:noProof/>
                <w:webHidden/>
              </w:rPr>
              <w:fldChar w:fldCharType="separate"/>
            </w:r>
            <w:r w:rsidR="006C4A9B">
              <w:rPr>
                <w:noProof/>
                <w:webHidden/>
              </w:rPr>
              <w:t>15</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099" w:history="1">
            <w:r w:rsidR="006C4A9B" w:rsidRPr="007179FC">
              <w:rPr>
                <w:rStyle w:val="Hyperlink"/>
                <w:rFonts w:ascii="Rockwell" w:eastAsia="Times New Roman" w:hAnsi="Rockwell" w:cs="Times New Roman"/>
                <w:b/>
                <w:noProof/>
              </w:rPr>
              <w:t>Chapter Two: Policy, Legal and Institutional Framework</w:t>
            </w:r>
            <w:r w:rsidR="006C4A9B">
              <w:rPr>
                <w:noProof/>
                <w:webHidden/>
              </w:rPr>
              <w:tab/>
            </w:r>
            <w:r w:rsidR="006C4A9B">
              <w:rPr>
                <w:noProof/>
                <w:webHidden/>
              </w:rPr>
              <w:fldChar w:fldCharType="begin"/>
            </w:r>
            <w:r w:rsidR="006C4A9B">
              <w:rPr>
                <w:noProof/>
                <w:webHidden/>
              </w:rPr>
              <w:instrText xml:space="preserve"> PAGEREF _Toc209047099 \h </w:instrText>
            </w:r>
            <w:r w:rsidR="006C4A9B">
              <w:rPr>
                <w:noProof/>
                <w:webHidden/>
              </w:rPr>
            </w:r>
            <w:r w:rsidR="006C4A9B">
              <w:rPr>
                <w:noProof/>
                <w:webHidden/>
              </w:rPr>
              <w:fldChar w:fldCharType="separate"/>
            </w:r>
            <w:r w:rsidR="006C4A9B">
              <w:rPr>
                <w:noProof/>
                <w:webHidden/>
              </w:rPr>
              <w:t>16</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00" w:history="1">
            <w:r w:rsidR="006C4A9B" w:rsidRPr="007179FC">
              <w:rPr>
                <w:rStyle w:val="Hyperlink"/>
                <w:rFonts w:ascii="Rockwell" w:eastAsia="Rockwell" w:hAnsi="Rockwell" w:cs="Rockwell"/>
                <w:b/>
                <w:noProof/>
              </w:rPr>
              <w:t>2.1 Policy, Legal and Institutional framework</w:t>
            </w:r>
            <w:r w:rsidR="006C4A9B">
              <w:rPr>
                <w:noProof/>
                <w:webHidden/>
              </w:rPr>
              <w:tab/>
            </w:r>
            <w:r w:rsidR="006C4A9B">
              <w:rPr>
                <w:noProof/>
                <w:webHidden/>
              </w:rPr>
              <w:fldChar w:fldCharType="begin"/>
            </w:r>
            <w:r w:rsidR="006C4A9B">
              <w:rPr>
                <w:noProof/>
                <w:webHidden/>
              </w:rPr>
              <w:instrText xml:space="preserve"> PAGEREF _Toc209047100 \h </w:instrText>
            </w:r>
            <w:r w:rsidR="006C4A9B">
              <w:rPr>
                <w:noProof/>
                <w:webHidden/>
              </w:rPr>
            </w:r>
            <w:r w:rsidR="006C4A9B">
              <w:rPr>
                <w:noProof/>
                <w:webHidden/>
              </w:rPr>
              <w:fldChar w:fldCharType="separate"/>
            </w:r>
            <w:r w:rsidR="006C4A9B">
              <w:rPr>
                <w:noProof/>
                <w:webHidden/>
              </w:rPr>
              <w:t>16</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01" w:history="1">
            <w:r w:rsidR="006C4A9B" w:rsidRPr="007179FC">
              <w:rPr>
                <w:rStyle w:val="Hyperlink"/>
                <w:rFonts w:ascii="Rockwell" w:eastAsia="Rockwell" w:hAnsi="Rockwell" w:cs="Rockwell"/>
                <w:b/>
                <w:noProof/>
              </w:rPr>
              <w:t>2.2 Global Best Practices</w:t>
            </w:r>
            <w:r w:rsidR="006C4A9B">
              <w:rPr>
                <w:noProof/>
                <w:webHidden/>
              </w:rPr>
              <w:tab/>
            </w:r>
            <w:r w:rsidR="006C4A9B">
              <w:rPr>
                <w:noProof/>
                <w:webHidden/>
              </w:rPr>
              <w:fldChar w:fldCharType="begin"/>
            </w:r>
            <w:r w:rsidR="006C4A9B">
              <w:rPr>
                <w:noProof/>
                <w:webHidden/>
              </w:rPr>
              <w:instrText xml:space="preserve"> PAGEREF _Toc209047101 \h </w:instrText>
            </w:r>
            <w:r w:rsidR="006C4A9B">
              <w:rPr>
                <w:noProof/>
                <w:webHidden/>
              </w:rPr>
            </w:r>
            <w:r w:rsidR="006C4A9B">
              <w:rPr>
                <w:noProof/>
                <w:webHidden/>
              </w:rPr>
              <w:fldChar w:fldCharType="separate"/>
            </w:r>
            <w:r w:rsidR="006C4A9B">
              <w:rPr>
                <w:noProof/>
                <w:webHidden/>
              </w:rPr>
              <w:t>23</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02" w:history="1">
            <w:r w:rsidR="006C4A9B" w:rsidRPr="007179FC">
              <w:rPr>
                <w:rStyle w:val="Hyperlink"/>
                <w:rFonts w:ascii="Rockwell" w:eastAsia="Times New Roman" w:hAnsi="Rockwell" w:cs="Times New Roman"/>
                <w:b/>
                <w:noProof/>
              </w:rPr>
              <w:t>Chapter Three: Determination and Management of the Environmental Deposit Bonds</w:t>
            </w:r>
            <w:r w:rsidR="006C4A9B">
              <w:rPr>
                <w:noProof/>
                <w:webHidden/>
              </w:rPr>
              <w:tab/>
            </w:r>
            <w:r w:rsidR="006C4A9B">
              <w:rPr>
                <w:noProof/>
                <w:webHidden/>
              </w:rPr>
              <w:fldChar w:fldCharType="begin"/>
            </w:r>
            <w:r w:rsidR="006C4A9B">
              <w:rPr>
                <w:noProof/>
                <w:webHidden/>
              </w:rPr>
              <w:instrText xml:space="preserve"> PAGEREF _Toc209047102 \h </w:instrText>
            </w:r>
            <w:r w:rsidR="006C4A9B">
              <w:rPr>
                <w:noProof/>
                <w:webHidden/>
              </w:rPr>
            </w:r>
            <w:r w:rsidR="006C4A9B">
              <w:rPr>
                <w:noProof/>
                <w:webHidden/>
              </w:rPr>
              <w:fldChar w:fldCharType="separate"/>
            </w:r>
            <w:r w:rsidR="006C4A9B">
              <w:rPr>
                <w:noProof/>
                <w:webHidden/>
              </w:rPr>
              <w:t>28</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03" w:history="1">
            <w:r w:rsidR="006C4A9B" w:rsidRPr="007179FC">
              <w:rPr>
                <w:rStyle w:val="Hyperlink"/>
                <w:rFonts w:ascii="Rockwell" w:eastAsia="Times New Roman" w:hAnsi="Rockwell" w:cs="Times New Roman"/>
                <w:b/>
                <w:noProof/>
              </w:rPr>
              <w:t>3.1 Initial determination based on the Environmental deposit bonds assessment report</w:t>
            </w:r>
            <w:r w:rsidR="006C4A9B">
              <w:rPr>
                <w:noProof/>
                <w:webHidden/>
              </w:rPr>
              <w:tab/>
            </w:r>
            <w:r w:rsidR="006C4A9B">
              <w:rPr>
                <w:noProof/>
                <w:webHidden/>
              </w:rPr>
              <w:fldChar w:fldCharType="begin"/>
            </w:r>
            <w:r w:rsidR="006C4A9B">
              <w:rPr>
                <w:noProof/>
                <w:webHidden/>
              </w:rPr>
              <w:instrText xml:space="preserve"> PAGEREF _Toc209047103 \h </w:instrText>
            </w:r>
            <w:r w:rsidR="006C4A9B">
              <w:rPr>
                <w:noProof/>
                <w:webHidden/>
              </w:rPr>
            </w:r>
            <w:r w:rsidR="006C4A9B">
              <w:rPr>
                <w:noProof/>
                <w:webHidden/>
              </w:rPr>
              <w:fldChar w:fldCharType="separate"/>
            </w:r>
            <w:r w:rsidR="006C4A9B">
              <w:rPr>
                <w:noProof/>
                <w:webHidden/>
              </w:rPr>
              <w:t>29</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04" w:history="1">
            <w:r w:rsidR="006C4A9B" w:rsidRPr="007179FC">
              <w:rPr>
                <w:rStyle w:val="Hyperlink"/>
                <w:rFonts w:ascii="Rockwell" w:eastAsia="Times New Roman" w:hAnsi="Rockwell" w:cs="Times New Roman"/>
                <w:b/>
                <w:noProof/>
              </w:rPr>
              <w:t>3.2 Review of the Environmental Deposit Bond Assessment Report</w:t>
            </w:r>
            <w:r w:rsidR="006C4A9B">
              <w:rPr>
                <w:noProof/>
                <w:webHidden/>
              </w:rPr>
              <w:tab/>
            </w:r>
            <w:r w:rsidR="006C4A9B">
              <w:rPr>
                <w:noProof/>
                <w:webHidden/>
              </w:rPr>
              <w:fldChar w:fldCharType="begin"/>
            </w:r>
            <w:r w:rsidR="006C4A9B">
              <w:rPr>
                <w:noProof/>
                <w:webHidden/>
              </w:rPr>
              <w:instrText xml:space="preserve"> PAGEREF _Toc209047104 \h </w:instrText>
            </w:r>
            <w:r w:rsidR="006C4A9B">
              <w:rPr>
                <w:noProof/>
                <w:webHidden/>
              </w:rPr>
            </w:r>
            <w:r w:rsidR="006C4A9B">
              <w:rPr>
                <w:noProof/>
                <w:webHidden/>
              </w:rPr>
              <w:fldChar w:fldCharType="separate"/>
            </w:r>
            <w:r w:rsidR="006C4A9B">
              <w:rPr>
                <w:noProof/>
                <w:webHidden/>
              </w:rPr>
              <w:t>29</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05" w:history="1">
            <w:r w:rsidR="006C4A9B" w:rsidRPr="007179FC">
              <w:rPr>
                <w:rStyle w:val="Hyperlink"/>
                <w:rFonts w:ascii="Rockwell" w:eastAsia="Times New Roman" w:hAnsi="Rockwell" w:cs="Times New Roman"/>
                <w:b/>
                <w:noProof/>
              </w:rPr>
              <w:t>3.3 Reassessment of the Deposit Bonds payable</w:t>
            </w:r>
            <w:r w:rsidR="006C4A9B">
              <w:rPr>
                <w:noProof/>
                <w:webHidden/>
              </w:rPr>
              <w:tab/>
            </w:r>
            <w:r w:rsidR="006C4A9B">
              <w:rPr>
                <w:noProof/>
                <w:webHidden/>
              </w:rPr>
              <w:fldChar w:fldCharType="begin"/>
            </w:r>
            <w:r w:rsidR="006C4A9B">
              <w:rPr>
                <w:noProof/>
                <w:webHidden/>
              </w:rPr>
              <w:instrText xml:space="preserve"> PAGEREF _Toc209047105 \h </w:instrText>
            </w:r>
            <w:r w:rsidR="006C4A9B">
              <w:rPr>
                <w:noProof/>
                <w:webHidden/>
              </w:rPr>
            </w:r>
            <w:r w:rsidR="006C4A9B">
              <w:rPr>
                <w:noProof/>
                <w:webHidden/>
              </w:rPr>
              <w:fldChar w:fldCharType="separate"/>
            </w:r>
            <w:r w:rsidR="006C4A9B">
              <w:rPr>
                <w:noProof/>
                <w:webHidden/>
              </w:rPr>
              <w:t>30</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06" w:history="1">
            <w:r w:rsidR="006C4A9B" w:rsidRPr="007179FC">
              <w:rPr>
                <w:rStyle w:val="Hyperlink"/>
                <w:rFonts w:ascii="Rockwell" w:eastAsia="Times New Roman" w:hAnsi="Rockwell" w:cs="Times New Roman"/>
                <w:b/>
                <w:noProof/>
              </w:rPr>
              <w:t>3.4 Review of the Environmental Deposit Bond payable</w:t>
            </w:r>
            <w:r w:rsidR="006C4A9B">
              <w:rPr>
                <w:noProof/>
                <w:webHidden/>
              </w:rPr>
              <w:tab/>
            </w:r>
            <w:r w:rsidR="006C4A9B">
              <w:rPr>
                <w:noProof/>
                <w:webHidden/>
              </w:rPr>
              <w:fldChar w:fldCharType="begin"/>
            </w:r>
            <w:r w:rsidR="006C4A9B">
              <w:rPr>
                <w:noProof/>
                <w:webHidden/>
              </w:rPr>
              <w:instrText xml:space="preserve"> PAGEREF _Toc209047106 \h </w:instrText>
            </w:r>
            <w:r w:rsidR="006C4A9B">
              <w:rPr>
                <w:noProof/>
                <w:webHidden/>
              </w:rPr>
            </w:r>
            <w:r w:rsidR="006C4A9B">
              <w:rPr>
                <w:noProof/>
                <w:webHidden/>
              </w:rPr>
              <w:fldChar w:fldCharType="separate"/>
            </w:r>
            <w:r w:rsidR="006C4A9B">
              <w:rPr>
                <w:noProof/>
                <w:webHidden/>
              </w:rPr>
              <w:t>30</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07" w:history="1">
            <w:r w:rsidR="006C4A9B" w:rsidRPr="007179FC">
              <w:rPr>
                <w:rStyle w:val="Hyperlink"/>
                <w:rFonts w:ascii="Rockwell" w:eastAsia="Times New Roman" w:hAnsi="Rockwell" w:cs="Times New Roman"/>
                <w:b/>
                <w:noProof/>
              </w:rPr>
              <w:t>3.5 Refund of the Deposit Bonds</w:t>
            </w:r>
            <w:r w:rsidR="006C4A9B">
              <w:rPr>
                <w:noProof/>
                <w:webHidden/>
              </w:rPr>
              <w:tab/>
            </w:r>
            <w:r w:rsidR="006C4A9B">
              <w:rPr>
                <w:noProof/>
                <w:webHidden/>
              </w:rPr>
              <w:fldChar w:fldCharType="begin"/>
            </w:r>
            <w:r w:rsidR="006C4A9B">
              <w:rPr>
                <w:noProof/>
                <w:webHidden/>
              </w:rPr>
              <w:instrText xml:space="preserve"> PAGEREF _Toc209047107 \h </w:instrText>
            </w:r>
            <w:r w:rsidR="006C4A9B">
              <w:rPr>
                <w:noProof/>
                <w:webHidden/>
              </w:rPr>
            </w:r>
            <w:r w:rsidR="006C4A9B">
              <w:rPr>
                <w:noProof/>
                <w:webHidden/>
              </w:rPr>
              <w:fldChar w:fldCharType="separate"/>
            </w:r>
            <w:r w:rsidR="006C4A9B">
              <w:rPr>
                <w:noProof/>
                <w:webHidden/>
              </w:rPr>
              <w:t>31</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08" w:history="1">
            <w:r w:rsidR="006C4A9B" w:rsidRPr="007179FC">
              <w:rPr>
                <w:rStyle w:val="Hyperlink"/>
                <w:rFonts w:ascii="Rockwell" w:eastAsia="Times New Roman" w:hAnsi="Rockwell" w:cs="Times New Roman"/>
                <w:b/>
                <w:noProof/>
              </w:rPr>
              <w:t>3.6 Confiscation of the</w:t>
            </w:r>
            <w:r w:rsidR="006C4A9B" w:rsidRPr="007179FC">
              <w:rPr>
                <w:rStyle w:val="Hyperlink"/>
                <w:rFonts w:ascii="Rockwell" w:eastAsia="Times New Roman" w:hAnsi="Rockwell" w:cs="Times New Roman"/>
                <w:noProof/>
              </w:rPr>
              <w:t xml:space="preserve"> </w:t>
            </w:r>
            <w:r w:rsidR="006C4A9B" w:rsidRPr="007179FC">
              <w:rPr>
                <w:rStyle w:val="Hyperlink"/>
                <w:rFonts w:ascii="Rockwell" w:eastAsia="Times New Roman" w:hAnsi="Rockwell" w:cs="Times New Roman"/>
                <w:b/>
                <w:noProof/>
              </w:rPr>
              <w:t>Environmental Deposit Bond</w:t>
            </w:r>
            <w:r w:rsidR="006C4A9B">
              <w:rPr>
                <w:noProof/>
                <w:webHidden/>
              </w:rPr>
              <w:tab/>
            </w:r>
            <w:r w:rsidR="006C4A9B">
              <w:rPr>
                <w:noProof/>
                <w:webHidden/>
              </w:rPr>
              <w:fldChar w:fldCharType="begin"/>
            </w:r>
            <w:r w:rsidR="006C4A9B">
              <w:rPr>
                <w:noProof/>
                <w:webHidden/>
              </w:rPr>
              <w:instrText xml:space="preserve"> PAGEREF _Toc209047108 \h </w:instrText>
            </w:r>
            <w:r w:rsidR="006C4A9B">
              <w:rPr>
                <w:noProof/>
                <w:webHidden/>
              </w:rPr>
            </w:r>
            <w:r w:rsidR="006C4A9B">
              <w:rPr>
                <w:noProof/>
                <w:webHidden/>
              </w:rPr>
              <w:fldChar w:fldCharType="separate"/>
            </w:r>
            <w:r w:rsidR="006C4A9B">
              <w:rPr>
                <w:noProof/>
                <w:webHidden/>
              </w:rPr>
              <w:t>32</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09" w:history="1">
            <w:r w:rsidR="006C4A9B" w:rsidRPr="007179FC">
              <w:rPr>
                <w:rStyle w:val="Hyperlink"/>
                <w:rFonts w:ascii="Rockwell" w:eastAsia="Times New Roman" w:hAnsi="Rockwell" w:cs="Times New Roman"/>
                <w:b/>
                <w:noProof/>
              </w:rPr>
              <w:t>3.7 Appeals</w:t>
            </w:r>
            <w:r w:rsidR="006C4A9B">
              <w:rPr>
                <w:noProof/>
                <w:webHidden/>
              </w:rPr>
              <w:tab/>
            </w:r>
            <w:r w:rsidR="006C4A9B">
              <w:rPr>
                <w:noProof/>
                <w:webHidden/>
              </w:rPr>
              <w:fldChar w:fldCharType="begin"/>
            </w:r>
            <w:r w:rsidR="006C4A9B">
              <w:rPr>
                <w:noProof/>
                <w:webHidden/>
              </w:rPr>
              <w:instrText xml:space="preserve"> PAGEREF _Toc209047109 \h </w:instrText>
            </w:r>
            <w:r w:rsidR="006C4A9B">
              <w:rPr>
                <w:noProof/>
                <w:webHidden/>
              </w:rPr>
            </w:r>
            <w:r w:rsidR="006C4A9B">
              <w:rPr>
                <w:noProof/>
                <w:webHidden/>
              </w:rPr>
              <w:fldChar w:fldCharType="separate"/>
            </w:r>
            <w:r w:rsidR="006C4A9B">
              <w:rPr>
                <w:noProof/>
                <w:webHidden/>
              </w:rPr>
              <w:t>33</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10" w:history="1">
            <w:r w:rsidR="006C4A9B" w:rsidRPr="007179FC">
              <w:rPr>
                <w:rStyle w:val="Hyperlink"/>
                <w:rFonts w:ascii="Rockwell" w:eastAsia="Times New Roman" w:hAnsi="Rockwell" w:cs="Times New Roman"/>
                <w:b/>
                <w:noProof/>
              </w:rPr>
              <w:t>Chapter 4: Remediation Standards and Estimation of the Remediation Liability</w:t>
            </w:r>
            <w:r w:rsidR="006C4A9B">
              <w:rPr>
                <w:noProof/>
                <w:webHidden/>
              </w:rPr>
              <w:tab/>
            </w:r>
            <w:r w:rsidR="006C4A9B">
              <w:rPr>
                <w:noProof/>
                <w:webHidden/>
              </w:rPr>
              <w:fldChar w:fldCharType="begin"/>
            </w:r>
            <w:r w:rsidR="006C4A9B">
              <w:rPr>
                <w:noProof/>
                <w:webHidden/>
              </w:rPr>
              <w:instrText xml:space="preserve"> PAGEREF _Toc209047110 \h </w:instrText>
            </w:r>
            <w:r w:rsidR="006C4A9B">
              <w:rPr>
                <w:noProof/>
                <w:webHidden/>
              </w:rPr>
            </w:r>
            <w:r w:rsidR="006C4A9B">
              <w:rPr>
                <w:noProof/>
                <w:webHidden/>
              </w:rPr>
              <w:fldChar w:fldCharType="separate"/>
            </w:r>
            <w:r w:rsidR="006C4A9B">
              <w:rPr>
                <w:noProof/>
                <w:webHidden/>
              </w:rPr>
              <w:t>33</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11" w:history="1">
            <w:r w:rsidR="006C4A9B" w:rsidRPr="007179FC">
              <w:rPr>
                <w:rStyle w:val="Hyperlink"/>
                <w:rFonts w:ascii="Rockwell" w:eastAsia="Times New Roman" w:hAnsi="Rockwell" w:cs="Times New Roman"/>
                <w:b/>
                <w:noProof/>
              </w:rPr>
              <w:t>4.1 Remediation Standards</w:t>
            </w:r>
            <w:r w:rsidR="006C4A9B">
              <w:rPr>
                <w:noProof/>
                <w:webHidden/>
              </w:rPr>
              <w:tab/>
            </w:r>
            <w:r w:rsidR="006C4A9B">
              <w:rPr>
                <w:noProof/>
                <w:webHidden/>
              </w:rPr>
              <w:fldChar w:fldCharType="begin"/>
            </w:r>
            <w:r w:rsidR="006C4A9B">
              <w:rPr>
                <w:noProof/>
                <w:webHidden/>
              </w:rPr>
              <w:instrText xml:space="preserve"> PAGEREF _Toc209047111 \h </w:instrText>
            </w:r>
            <w:r w:rsidR="006C4A9B">
              <w:rPr>
                <w:noProof/>
                <w:webHidden/>
              </w:rPr>
            </w:r>
            <w:r w:rsidR="006C4A9B">
              <w:rPr>
                <w:noProof/>
                <w:webHidden/>
              </w:rPr>
              <w:fldChar w:fldCharType="separate"/>
            </w:r>
            <w:r w:rsidR="006C4A9B">
              <w:rPr>
                <w:noProof/>
                <w:webHidden/>
              </w:rPr>
              <w:t>33</w:t>
            </w:r>
            <w:r w:rsidR="006C4A9B">
              <w:rPr>
                <w:noProof/>
                <w:webHidden/>
              </w:rPr>
              <w:fldChar w:fldCharType="end"/>
            </w:r>
          </w:hyperlink>
        </w:p>
        <w:p w:rsidR="006C4A9B" w:rsidRDefault="00106C88">
          <w:pPr>
            <w:pStyle w:val="TOC2"/>
            <w:tabs>
              <w:tab w:val="right" w:leader="dot" w:pos="9062"/>
            </w:tabs>
            <w:rPr>
              <w:rFonts w:asciiTheme="minorHAnsi" w:eastAsiaTheme="minorEastAsia" w:hAnsiTheme="minorHAnsi" w:cstheme="minorBidi"/>
              <w:noProof/>
              <w:lang w:val="en-US"/>
            </w:rPr>
          </w:pPr>
          <w:hyperlink w:anchor="_Toc209047112" w:history="1">
            <w:r w:rsidR="006C4A9B" w:rsidRPr="007179FC">
              <w:rPr>
                <w:rStyle w:val="Hyperlink"/>
                <w:rFonts w:ascii="Rockwell" w:eastAsia="Times New Roman" w:hAnsi="Rockwell" w:cs="Times New Roman"/>
                <w:b/>
                <w:noProof/>
              </w:rPr>
              <w:t>4.1.1 The Remediation Management Plan</w:t>
            </w:r>
            <w:r w:rsidR="006C4A9B">
              <w:rPr>
                <w:noProof/>
                <w:webHidden/>
              </w:rPr>
              <w:tab/>
            </w:r>
            <w:r w:rsidR="006C4A9B">
              <w:rPr>
                <w:noProof/>
                <w:webHidden/>
              </w:rPr>
              <w:fldChar w:fldCharType="begin"/>
            </w:r>
            <w:r w:rsidR="006C4A9B">
              <w:rPr>
                <w:noProof/>
                <w:webHidden/>
              </w:rPr>
              <w:instrText xml:space="preserve"> PAGEREF _Toc209047112 \h </w:instrText>
            </w:r>
            <w:r w:rsidR="006C4A9B">
              <w:rPr>
                <w:noProof/>
                <w:webHidden/>
              </w:rPr>
            </w:r>
            <w:r w:rsidR="006C4A9B">
              <w:rPr>
                <w:noProof/>
                <w:webHidden/>
              </w:rPr>
              <w:fldChar w:fldCharType="separate"/>
            </w:r>
            <w:r w:rsidR="006C4A9B">
              <w:rPr>
                <w:noProof/>
                <w:webHidden/>
              </w:rPr>
              <w:t>34</w:t>
            </w:r>
            <w:r w:rsidR="006C4A9B">
              <w:rPr>
                <w:noProof/>
                <w:webHidden/>
              </w:rPr>
              <w:fldChar w:fldCharType="end"/>
            </w:r>
          </w:hyperlink>
        </w:p>
        <w:p w:rsidR="006C4A9B" w:rsidRDefault="00106C88">
          <w:pPr>
            <w:pStyle w:val="TOC3"/>
            <w:tabs>
              <w:tab w:val="left" w:pos="880"/>
              <w:tab w:val="right" w:leader="dot" w:pos="9062"/>
            </w:tabs>
            <w:rPr>
              <w:rFonts w:asciiTheme="minorHAnsi" w:eastAsiaTheme="minorEastAsia" w:hAnsiTheme="minorHAnsi" w:cstheme="minorBidi"/>
              <w:noProof/>
              <w:lang w:val="en-US"/>
            </w:rPr>
          </w:pPr>
          <w:hyperlink w:anchor="_Toc209047113" w:history="1">
            <w:r w:rsidR="006C4A9B" w:rsidRPr="007179FC">
              <w:rPr>
                <w:rStyle w:val="Hyperlink"/>
                <w:rFonts w:ascii="Rockwell" w:eastAsia="Times New Roman" w:hAnsi="Rockwell" w:cs="Times New Roman"/>
                <w:b/>
                <w:noProof/>
              </w:rPr>
              <w:t>a)</w:t>
            </w:r>
            <w:r w:rsidR="006C4A9B">
              <w:rPr>
                <w:rFonts w:asciiTheme="minorHAnsi" w:eastAsiaTheme="minorEastAsia" w:hAnsiTheme="minorHAnsi" w:cstheme="minorBidi"/>
                <w:noProof/>
                <w:lang w:val="en-US"/>
              </w:rPr>
              <w:tab/>
            </w:r>
            <w:r w:rsidR="006C4A9B" w:rsidRPr="007179FC">
              <w:rPr>
                <w:rStyle w:val="Hyperlink"/>
                <w:rFonts w:ascii="Rockwell" w:eastAsia="Times New Roman" w:hAnsi="Rockwell" w:cs="Times New Roman"/>
                <w:b/>
                <w:noProof/>
              </w:rPr>
              <w:t>Components/factors/parameters</w:t>
            </w:r>
            <w:r w:rsidR="006C4A9B">
              <w:rPr>
                <w:noProof/>
                <w:webHidden/>
              </w:rPr>
              <w:tab/>
            </w:r>
            <w:r w:rsidR="006C4A9B">
              <w:rPr>
                <w:noProof/>
                <w:webHidden/>
              </w:rPr>
              <w:fldChar w:fldCharType="begin"/>
            </w:r>
            <w:r w:rsidR="006C4A9B">
              <w:rPr>
                <w:noProof/>
                <w:webHidden/>
              </w:rPr>
              <w:instrText xml:space="preserve"> PAGEREF _Toc209047113 \h </w:instrText>
            </w:r>
            <w:r w:rsidR="006C4A9B">
              <w:rPr>
                <w:noProof/>
                <w:webHidden/>
              </w:rPr>
            </w:r>
            <w:r w:rsidR="006C4A9B">
              <w:rPr>
                <w:noProof/>
                <w:webHidden/>
              </w:rPr>
              <w:fldChar w:fldCharType="separate"/>
            </w:r>
            <w:r w:rsidR="006C4A9B">
              <w:rPr>
                <w:noProof/>
                <w:webHidden/>
              </w:rPr>
              <w:t>34</w:t>
            </w:r>
            <w:r w:rsidR="006C4A9B">
              <w:rPr>
                <w:noProof/>
                <w:webHidden/>
              </w:rPr>
              <w:fldChar w:fldCharType="end"/>
            </w:r>
          </w:hyperlink>
        </w:p>
        <w:p w:rsidR="006C4A9B" w:rsidRDefault="00106C88">
          <w:pPr>
            <w:pStyle w:val="TOC3"/>
            <w:tabs>
              <w:tab w:val="left" w:pos="880"/>
              <w:tab w:val="right" w:leader="dot" w:pos="9062"/>
            </w:tabs>
            <w:rPr>
              <w:rFonts w:asciiTheme="minorHAnsi" w:eastAsiaTheme="minorEastAsia" w:hAnsiTheme="minorHAnsi" w:cstheme="minorBidi"/>
              <w:noProof/>
              <w:lang w:val="en-US"/>
            </w:rPr>
          </w:pPr>
          <w:hyperlink w:anchor="_Toc209047114" w:history="1">
            <w:r w:rsidR="006C4A9B" w:rsidRPr="007179FC">
              <w:rPr>
                <w:rStyle w:val="Hyperlink"/>
                <w:rFonts w:ascii="Rockwell" w:eastAsia="Times New Roman" w:hAnsi="Rockwell" w:cs="Times New Roman"/>
                <w:b/>
                <w:noProof/>
              </w:rPr>
              <w:t>b)</w:t>
            </w:r>
            <w:r w:rsidR="006C4A9B">
              <w:rPr>
                <w:rFonts w:asciiTheme="minorHAnsi" w:eastAsiaTheme="minorEastAsia" w:hAnsiTheme="minorHAnsi" w:cstheme="minorBidi"/>
                <w:noProof/>
                <w:lang w:val="en-US"/>
              </w:rPr>
              <w:tab/>
            </w:r>
            <w:r w:rsidR="006C4A9B" w:rsidRPr="007179FC">
              <w:rPr>
                <w:rStyle w:val="Hyperlink"/>
                <w:rFonts w:ascii="Rockwell" w:eastAsia="Times New Roman" w:hAnsi="Rockwell" w:cs="Times New Roman"/>
                <w:b/>
                <w:noProof/>
              </w:rPr>
              <w:t>Proposed Remediation methods/ the mitigation measures</w:t>
            </w:r>
            <w:r w:rsidR="006C4A9B">
              <w:rPr>
                <w:noProof/>
                <w:webHidden/>
              </w:rPr>
              <w:tab/>
            </w:r>
            <w:r w:rsidR="006C4A9B">
              <w:rPr>
                <w:noProof/>
                <w:webHidden/>
              </w:rPr>
              <w:fldChar w:fldCharType="begin"/>
            </w:r>
            <w:r w:rsidR="006C4A9B">
              <w:rPr>
                <w:noProof/>
                <w:webHidden/>
              </w:rPr>
              <w:instrText xml:space="preserve"> PAGEREF _Toc209047114 \h </w:instrText>
            </w:r>
            <w:r w:rsidR="006C4A9B">
              <w:rPr>
                <w:noProof/>
                <w:webHidden/>
              </w:rPr>
            </w:r>
            <w:r w:rsidR="006C4A9B">
              <w:rPr>
                <w:noProof/>
                <w:webHidden/>
              </w:rPr>
              <w:fldChar w:fldCharType="separate"/>
            </w:r>
            <w:r w:rsidR="006C4A9B">
              <w:rPr>
                <w:noProof/>
                <w:webHidden/>
              </w:rPr>
              <w:t>34</w:t>
            </w:r>
            <w:r w:rsidR="006C4A9B">
              <w:rPr>
                <w:noProof/>
                <w:webHidden/>
              </w:rPr>
              <w:fldChar w:fldCharType="end"/>
            </w:r>
          </w:hyperlink>
        </w:p>
        <w:p w:rsidR="006C4A9B" w:rsidRDefault="00106C88">
          <w:pPr>
            <w:pStyle w:val="TOC3"/>
            <w:tabs>
              <w:tab w:val="left" w:pos="880"/>
              <w:tab w:val="right" w:leader="dot" w:pos="9062"/>
            </w:tabs>
            <w:rPr>
              <w:rFonts w:asciiTheme="minorHAnsi" w:eastAsiaTheme="minorEastAsia" w:hAnsiTheme="minorHAnsi" w:cstheme="minorBidi"/>
              <w:noProof/>
              <w:lang w:val="en-US"/>
            </w:rPr>
          </w:pPr>
          <w:hyperlink w:anchor="_Toc209047115" w:history="1">
            <w:r w:rsidR="006C4A9B" w:rsidRPr="007179FC">
              <w:rPr>
                <w:rStyle w:val="Hyperlink"/>
                <w:rFonts w:ascii="Rockwell" w:eastAsia="Times New Roman" w:hAnsi="Rockwell" w:cs="Times New Roman"/>
                <w:b/>
                <w:noProof/>
              </w:rPr>
              <w:t>c)</w:t>
            </w:r>
            <w:r w:rsidR="006C4A9B">
              <w:rPr>
                <w:rFonts w:asciiTheme="minorHAnsi" w:eastAsiaTheme="minorEastAsia" w:hAnsiTheme="minorHAnsi" w:cstheme="minorBidi"/>
                <w:noProof/>
                <w:lang w:val="en-US"/>
              </w:rPr>
              <w:tab/>
            </w:r>
            <w:r w:rsidR="006C4A9B" w:rsidRPr="007179FC">
              <w:rPr>
                <w:rStyle w:val="Hyperlink"/>
                <w:rFonts w:ascii="Rockwell" w:eastAsia="Times New Roman" w:hAnsi="Rockwell" w:cs="Times New Roman"/>
                <w:b/>
                <w:noProof/>
              </w:rPr>
              <w:t>Cost Estimates of the proposed remediation methods/commitments</w:t>
            </w:r>
            <w:r w:rsidR="006C4A9B">
              <w:rPr>
                <w:noProof/>
                <w:webHidden/>
              </w:rPr>
              <w:tab/>
            </w:r>
            <w:r w:rsidR="006C4A9B">
              <w:rPr>
                <w:noProof/>
                <w:webHidden/>
              </w:rPr>
              <w:fldChar w:fldCharType="begin"/>
            </w:r>
            <w:r w:rsidR="006C4A9B">
              <w:rPr>
                <w:noProof/>
                <w:webHidden/>
              </w:rPr>
              <w:instrText xml:space="preserve"> PAGEREF _Toc209047115 \h </w:instrText>
            </w:r>
            <w:r w:rsidR="006C4A9B">
              <w:rPr>
                <w:noProof/>
                <w:webHidden/>
              </w:rPr>
            </w:r>
            <w:r w:rsidR="006C4A9B">
              <w:rPr>
                <w:noProof/>
                <w:webHidden/>
              </w:rPr>
              <w:fldChar w:fldCharType="separate"/>
            </w:r>
            <w:r w:rsidR="006C4A9B">
              <w:rPr>
                <w:noProof/>
                <w:webHidden/>
              </w:rPr>
              <w:t>34</w:t>
            </w:r>
            <w:r w:rsidR="006C4A9B">
              <w:rPr>
                <w:noProof/>
                <w:webHidden/>
              </w:rPr>
              <w:fldChar w:fldCharType="end"/>
            </w:r>
          </w:hyperlink>
        </w:p>
        <w:p w:rsidR="006C4A9B" w:rsidRDefault="00106C88">
          <w:pPr>
            <w:pStyle w:val="TOC3"/>
            <w:tabs>
              <w:tab w:val="left" w:pos="880"/>
              <w:tab w:val="right" w:leader="dot" w:pos="9062"/>
            </w:tabs>
            <w:rPr>
              <w:rFonts w:asciiTheme="minorHAnsi" w:eastAsiaTheme="minorEastAsia" w:hAnsiTheme="minorHAnsi" w:cstheme="minorBidi"/>
              <w:noProof/>
              <w:lang w:val="en-US"/>
            </w:rPr>
          </w:pPr>
          <w:hyperlink w:anchor="_Toc209047116" w:history="1">
            <w:r w:rsidR="006C4A9B" w:rsidRPr="007179FC">
              <w:rPr>
                <w:rStyle w:val="Hyperlink"/>
                <w:rFonts w:ascii="Rockwell" w:eastAsia="Times New Roman" w:hAnsi="Rockwell" w:cs="Times New Roman"/>
                <w:b/>
                <w:noProof/>
              </w:rPr>
              <w:t>d)</w:t>
            </w:r>
            <w:r w:rsidR="006C4A9B">
              <w:rPr>
                <w:rFonts w:asciiTheme="minorHAnsi" w:eastAsiaTheme="minorEastAsia" w:hAnsiTheme="minorHAnsi" w:cstheme="minorBidi"/>
                <w:noProof/>
                <w:lang w:val="en-US"/>
              </w:rPr>
              <w:tab/>
            </w:r>
            <w:r w:rsidR="006C4A9B" w:rsidRPr="007179FC">
              <w:rPr>
                <w:rStyle w:val="Hyperlink"/>
                <w:rFonts w:ascii="Rockwell" w:eastAsia="Times New Roman" w:hAnsi="Rockwell" w:cs="Times New Roman"/>
                <w:b/>
                <w:noProof/>
              </w:rPr>
              <w:t>Implementation Schedule</w:t>
            </w:r>
            <w:r w:rsidR="006C4A9B">
              <w:rPr>
                <w:noProof/>
                <w:webHidden/>
              </w:rPr>
              <w:tab/>
            </w:r>
            <w:r w:rsidR="006C4A9B">
              <w:rPr>
                <w:noProof/>
                <w:webHidden/>
              </w:rPr>
              <w:fldChar w:fldCharType="begin"/>
            </w:r>
            <w:r w:rsidR="006C4A9B">
              <w:rPr>
                <w:noProof/>
                <w:webHidden/>
              </w:rPr>
              <w:instrText xml:space="preserve"> PAGEREF _Toc209047116 \h </w:instrText>
            </w:r>
            <w:r w:rsidR="006C4A9B">
              <w:rPr>
                <w:noProof/>
                <w:webHidden/>
              </w:rPr>
            </w:r>
            <w:r w:rsidR="006C4A9B">
              <w:rPr>
                <w:noProof/>
                <w:webHidden/>
              </w:rPr>
              <w:fldChar w:fldCharType="separate"/>
            </w:r>
            <w:r w:rsidR="006C4A9B">
              <w:rPr>
                <w:noProof/>
                <w:webHidden/>
              </w:rPr>
              <w:t>35</w:t>
            </w:r>
            <w:r w:rsidR="006C4A9B">
              <w:rPr>
                <w:noProof/>
                <w:webHidden/>
              </w:rPr>
              <w:fldChar w:fldCharType="end"/>
            </w:r>
          </w:hyperlink>
        </w:p>
        <w:p w:rsidR="006C4A9B" w:rsidRDefault="00106C88">
          <w:pPr>
            <w:pStyle w:val="TOC3"/>
            <w:tabs>
              <w:tab w:val="left" w:pos="880"/>
              <w:tab w:val="right" w:leader="dot" w:pos="9062"/>
            </w:tabs>
            <w:rPr>
              <w:rFonts w:asciiTheme="minorHAnsi" w:eastAsiaTheme="minorEastAsia" w:hAnsiTheme="minorHAnsi" w:cstheme="minorBidi"/>
              <w:noProof/>
              <w:lang w:val="en-US"/>
            </w:rPr>
          </w:pPr>
          <w:hyperlink w:anchor="_Toc209047117" w:history="1">
            <w:r w:rsidR="006C4A9B" w:rsidRPr="007179FC">
              <w:rPr>
                <w:rStyle w:val="Hyperlink"/>
                <w:rFonts w:ascii="Rockwell" w:eastAsia="Times New Roman" w:hAnsi="Rockwell" w:cs="Times New Roman"/>
                <w:b/>
                <w:noProof/>
              </w:rPr>
              <w:t>e)</w:t>
            </w:r>
            <w:r w:rsidR="006C4A9B">
              <w:rPr>
                <w:rFonts w:asciiTheme="minorHAnsi" w:eastAsiaTheme="minorEastAsia" w:hAnsiTheme="minorHAnsi" w:cstheme="minorBidi"/>
                <w:noProof/>
                <w:lang w:val="en-US"/>
              </w:rPr>
              <w:tab/>
            </w:r>
            <w:r w:rsidR="006C4A9B" w:rsidRPr="007179FC">
              <w:rPr>
                <w:rStyle w:val="Hyperlink"/>
                <w:rFonts w:ascii="Rockwell" w:eastAsia="Times New Roman" w:hAnsi="Rockwell" w:cs="Times New Roman"/>
                <w:b/>
                <w:noProof/>
              </w:rPr>
              <w:t>Responsibility</w:t>
            </w:r>
            <w:r w:rsidR="006C4A9B">
              <w:rPr>
                <w:noProof/>
                <w:webHidden/>
              </w:rPr>
              <w:tab/>
            </w:r>
            <w:r w:rsidR="006C4A9B">
              <w:rPr>
                <w:noProof/>
                <w:webHidden/>
              </w:rPr>
              <w:fldChar w:fldCharType="begin"/>
            </w:r>
            <w:r w:rsidR="006C4A9B">
              <w:rPr>
                <w:noProof/>
                <w:webHidden/>
              </w:rPr>
              <w:instrText xml:space="preserve"> PAGEREF _Toc209047117 \h </w:instrText>
            </w:r>
            <w:r w:rsidR="006C4A9B">
              <w:rPr>
                <w:noProof/>
                <w:webHidden/>
              </w:rPr>
            </w:r>
            <w:r w:rsidR="006C4A9B">
              <w:rPr>
                <w:noProof/>
                <w:webHidden/>
              </w:rPr>
              <w:fldChar w:fldCharType="separate"/>
            </w:r>
            <w:r w:rsidR="006C4A9B">
              <w:rPr>
                <w:noProof/>
                <w:webHidden/>
              </w:rPr>
              <w:t>35</w:t>
            </w:r>
            <w:r w:rsidR="006C4A9B">
              <w:rPr>
                <w:noProof/>
                <w:webHidden/>
              </w:rPr>
              <w:fldChar w:fldCharType="end"/>
            </w:r>
          </w:hyperlink>
        </w:p>
        <w:p w:rsidR="006C4A9B" w:rsidRDefault="00106C88">
          <w:pPr>
            <w:pStyle w:val="TOC3"/>
            <w:tabs>
              <w:tab w:val="left" w:pos="880"/>
              <w:tab w:val="right" w:leader="dot" w:pos="9062"/>
            </w:tabs>
            <w:rPr>
              <w:rFonts w:asciiTheme="minorHAnsi" w:eastAsiaTheme="minorEastAsia" w:hAnsiTheme="minorHAnsi" w:cstheme="minorBidi"/>
              <w:noProof/>
              <w:lang w:val="en-US"/>
            </w:rPr>
          </w:pPr>
          <w:hyperlink w:anchor="_Toc209047118" w:history="1">
            <w:r w:rsidR="006C4A9B" w:rsidRPr="007179FC">
              <w:rPr>
                <w:rStyle w:val="Hyperlink"/>
                <w:rFonts w:ascii="Rockwell" w:eastAsia="Times New Roman" w:hAnsi="Rockwell" w:cs="Times New Roman"/>
                <w:b/>
                <w:noProof/>
              </w:rPr>
              <w:t>f)</w:t>
            </w:r>
            <w:r w:rsidR="006C4A9B">
              <w:rPr>
                <w:rFonts w:asciiTheme="minorHAnsi" w:eastAsiaTheme="minorEastAsia" w:hAnsiTheme="minorHAnsi" w:cstheme="minorBidi"/>
                <w:noProof/>
                <w:lang w:val="en-US"/>
              </w:rPr>
              <w:tab/>
            </w:r>
            <w:r w:rsidR="006C4A9B" w:rsidRPr="007179FC">
              <w:rPr>
                <w:rStyle w:val="Hyperlink"/>
                <w:rFonts w:ascii="Rockwell" w:eastAsia="Times New Roman" w:hAnsi="Rockwell" w:cs="Times New Roman"/>
                <w:b/>
                <w:noProof/>
              </w:rPr>
              <w:t>Monitoring Mechanisms and monitoring Indicators</w:t>
            </w:r>
            <w:r w:rsidR="006C4A9B">
              <w:rPr>
                <w:noProof/>
                <w:webHidden/>
              </w:rPr>
              <w:tab/>
            </w:r>
            <w:r w:rsidR="006C4A9B">
              <w:rPr>
                <w:noProof/>
                <w:webHidden/>
              </w:rPr>
              <w:fldChar w:fldCharType="begin"/>
            </w:r>
            <w:r w:rsidR="006C4A9B">
              <w:rPr>
                <w:noProof/>
                <w:webHidden/>
              </w:rPr>
              <w:instrText xml:space="preserve"> PAGEREF _Toc209047118 \h </w:instrText>
            </w:r>
            <w:r w:rsidR="006C4A9B">
              <w:rPr>
                <w:noProof/>
                <w:webHidden/>
              </w:rPr>
            </w:r>
            <w:r w:rsidR="006C4A9B">
              <w:rPr>
                <w:noProof/>
                <w:webHidden/>
              </w:rPr>
              <w:fldChar w:fldCharType="separate"/>
            </w:r>
            <w:r w:rsidR="006C4A9B">
              <w:rPr>
                <w:noProof/>
                <w:webHidden/>
              </w:rPr>
              <w:t>35</w:t>
            </w:r>
            <w:r w:rsidR="006C4A9B">
              <w:rPr>
                <w:noProof/>
                <w:webHidden/>
              </w:rPr>
              <w:fldChar w:fldCharType="end"/>
            </w:r>
          </w:hyperlink>
        </w:p>
        <w:p w:rsidR="006C4A9B" w:rsidRDefault="00106C88">
          <w:pPr>
            <w:pStyle w:val="TOC3"/>
            <w:tabs>
              <w:tab w:val="left" w:pos="880"/>
              <w:tab w:val="right" w:leader="dot" w:pos="9062"/>
            </w:tabs>
            <w:rPr>
              <w:rFonts w:asciiTheme="minorHAnsi" w:eastAsiaTheme="minorEastAsia" w:hAnsiTheme="minorHAnsi" w:cstheme="minorBidi"/>
              <w:noProof/>
              <w:lang w:val="en-US"/>
            </w:rPr>
          </w:pPr>
          <w:hyperlink w:anchor="_Toc209047119" w:history="1">
            <w:r w:rsidR="006C4A9B" w:rsidRPr="007179FC">
              <w:rPr>
                <w:rStyle w:val="Hyperlink"/>
                <w:rFonts w:ascii="Rockwell" w:eastAsia="Times New Roman" w:hAnsi="Rockwell" w:cs="Times New Roman"/>
                <w:b/>
                <w:noProof/>
              </w:rPr>
              <w:t>g)</w:t>
            </w:r>
            <w:r w:rsidR="006C4A9B">
              <w:rPr>
                <w:rFonts w:asciiTheme="minorHAnsi" w:eastAsiaTheme="minorEastAsia" w:hAnsiTheme="minorHAnsi" w:cstheme="minorBidi"/>
                <w:noProof/>
                <w:lang w:val="en-US"/>
              </w:rPr>
              <w:tab/>
            </w:r>
            <w:r w:rsidR="006C4A9B" w:rsidRPr="007179FC">
              <w:rPr>
                <w:rStyle w:val="Hyperlink"/>
                <w:rFonts w:ascii="Rockwell" w:eastAsia="Times New Roman" w:hAnsi="Rockwell" w:cs="Times New Roman"/>
                <w:b/>
                <w:noProof/>
              </w:rPr>
              <w:t>Management, contingency and remediation monitoring costs</w:t>
            </w:r>
            <w:r w:rsidR="006C4A9B">
              <w:rPr>
                <w:noProof/>
                <w:webHidden/>
              </w:rPr>
              <w:tab/>
            </w:r>
            <w:r w:rsidR="006C4A9B">
              <w:rPr>
                <w:noProof/>
                <w:webHidden/>
              </w:rPr>
              <w:fldChar w:fldCharType="begin"/>
            </w:r>
            <w:r w:rsidR="006C4A9B">
              <w:rPr>
                <w:noProof/>
                <w:webHidden/>
              </w:rPr>
              <w:instrText xml:space="preserve"> PAGEREF _Toc209047119 \h </w:instrText>
            </w:r>
            <w:r w:rsidR="006C4A9B">
              <w:rPr>
                <w:noProof/>
                <w:webHidden/>
              </w:rPr>
            </w:r>
            <w:r w:rsidR="006C4A9B">
              <w:rPr>
                <w:noProof/>
                <w:webHidden/>
              </w:rPr>
              <w:fldChar w:fldCharType="separate"/>
            </w:r>
            <w:r w:rsidR="006C4A9B">
              <w:rPr>
                <w:noProof/>
                <w:webHidden/>
              </w:rPr>
              <w:t>35</w:t>
            </w:r>
            <w:r w:rsidR="006C4A9B">
              <w:rPr>
                <w:noProof/>
                <w:webHidden/>
              </w:rPr>
              <w:fldChar w:fldCharType="end"/>
            </w:r>
          </w:hyperlink>
        </w:p>
        <w:p w:rsidR="006C4A9B" w:rsidRDefault="00106C88">
          <w:pPr>
            <w:pStyle w:val="TOC2"/>
            <w:tabs>
              <w:tab w:val="right" w:leader="dot" w:pos="9062"/>
            </w:tabs>
            <w:rPr>
              <w:rFonts w:asciiTheme="minorHAnsi" w:eastAsiaTheme="minorEastAsia" w:hAnsiTheme="minorHAnsi" w:cstheme="minorBidi"/>
              <w:noProof/>
              <w:lang w:val="en-US"/>
            </w:rPr>
          </w:pPr>
          <w:hyperlink w:anchor="_Toc209047120" w:history="1">
            <w:r w:rsidR="006C4A9B" w:rsidRPr="007179FC">
              <w:rPr>
                <w:rStyle w:val="Hyperlink"/>
                <w:rFonts w:ascii="Rockwell" w:eastAsia="Times New Roman" w:hAnsi="Rockwell" w:cs="Times New Roman"/>
                <w:b/>
                <w:noProof/>
              </w:rPr>
              <w:t>4.1.2 key mine site remediation parameters and monitorable indicators</w:t>
            </w:r>
            <w:r w:rsidR="006C4A9B">
              <w:rPr>
                <w:noProof/>
                <w:webHidden/>
              </w:rPr>
              <w:tab/>
            </w:r>
            <w:r w:rsidR="006C4A9B">
              <w:rPr>
                <w:noProof/>
                <w:webHidden/>
              </w:rPr>
              <w:fldChar w:fldCharType="begin"/>
            </w:r>
            <w:r w:rsidR="006C4A9B">
              <w:rPr>
                <w:noProof/>
                <w:webHidden/>
              </w:rPr>
              <w:instrText xml:space="preserve"> PAGEREF _Toc209047120 \h </w:instrText>
            </w:r>
            <w:r w:rsidR="006C4A9B">
              <w:rPr>
                <w:noProof/>
                <w:webHidden/>
              </w:rPr>
            </w:r>
            <w:r w:rsidR="006C4A9B">
              <w:rPr>
                <w:noProof/>
                <w:webHidden/>
              </w:rPr>
              <w:fldChar w:fldCharType="separate"/>
            </w:r>
            <w:r w:rsidR="006C4A9B">
              <w:rPr>
                <w:noProof/>
                <w:webHidden/>
              </w:rPr>
              <w:t>36</w:t>
            </w:r>
            <w:r w:rsidR="006C4A9B">
              <w:rPr>
                <w:noProof/>
                <w:webHidden/>
              </w:rPr>
              <w:fldChar w:fldCharType="end"/>
            </w:r>
          </w:hyperlink>
        </w:p>
        <w:p w:rsidR="006C4A9B" w:rsidRDefault="00106C88">
          <w:pPr>
            <w:pStyle w:val="TOC3"/>
            <w:tabs>
              <w:tab w:val="left" w:pos="880"/>
              <w:tab w:val="right" w:leader="dot" w:pos="9062"/>
            </w:tabs>
            <w:rPr>
              <w:rFonts w:asciiTheme="minorHAnsi" w:eastAsiaTheme="minorEastAsia" w:hAnsiTheme="minorHAnsi" w:cstheme="minorBidi"/>
              <w:noProof/>
              <w:lang w:val="en-US"/>
            </w:rPr>
          </w:pPr>
          <w:hyperlink w:anchor="_Toc209047121" w:history="1">
            <w:r w:rsidR="006C4A9B" w:rsidRPr="007179FC">
              <w:rPr>
                <w:rStyle w:val="Hyperlink"/>
                <w:rFonts w:ascii="Rockwell" w:eastAsia="Times New Roman" w:hAnsi="Rockwell" w:cs="Times New Roman"/>
                <w:b/>
                <w:noProof/>
              </w:rPr>
              <w:t>a)</w:t>
            </w:r>
            <w:r w:rsidR="006C4A9B">
              <w:rPr>
                <w:rFonts w:asciiTheme="minorHAnsi" w:eastAsiaTheme="minorEastAsia" w:hAnsiTheme="minorHAnsi" w:cstheme="minorBidi"/>
                <w:noProof/>
                <w:lang w:val="en-US"/>
              </w:rPr>
              <w:tab/>
            </w:r>
            <w:r w:rsidR="006C4A9B" w:rsidRPr="007179FC">
              <w:rPr>
                <w:rStyle w:val="Hyperlink"/>
                <w:rFonts w:ascii="Rockwell" w:eastAsia="Times New Roman" w:hAnsi="Rockwell" w:cs="Times New Roman"/>
                <w:b/>
                <w:noProof/>
              </w:rPr>
              <w:t>Water Quality and Quantity:</w:t>
            </w:r>
            <w:r w:rsidR="006C4A9B">
              <w:rPr>
                <w:noProof/>
                <w:webHidden/>
              </w:rPr>
              <w:tab/>
            </w:r>
            <w:r w:rsidR="006C4A9B">
              <w:rPr>
                <w:noProof/>
                <w:webHidden/>
              </w:rPr>
              <w:fldChar w:fldCharType="begin"/>
            </w:r>
            <w:r w:rsidR="006C4A9B">
              <w:rPr>
                <w:noProof/>
                <w:webHidden/>
              </w:rPr>
              <w:instrText xml:space="preserve"> PAGEREF _Toc209047121 \h </w:instrText>
            </w:r>
            <w:r w:rsidR="006C4A9B">
              <w:rPr>
                <w:noProof/>
                <w:webHidden/>
              </w:rPr>
            </w:r>
            <w:r w:rsidR="006C4A9B">
              <w:rPr>
                <w:noProof/>
                <w:webHidden/>
              </w:rPr>
              <w:fldChar w:fldCharType="separate"/>
            </w:r>
            <w:r w:rsidR="006C4A9B">
              <w:rPr>
                <w:noProof/>
                <w:webHidden/>
              </w:rPr>
              <w:t>36</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22" w:history="1">
            <w:r w:rsidR="006C4A9B" w:rsidRPr="007179FC">
              <w:rPr>
                <w:rStyle w:val="Hyperlink"/>
                <w:rFonts w:ascii="Rockwell" w:eastAsia="Times New Roman" w:hAnsi="Rockwell" w:cs="Times New Roman"/>
                <w:b/>
                <w:noProof/>
              </w:rPr>
              <w:t>b) Air Quality:</w:t>
            </w:r>
            <w:r w:rsidR="006C4A9B">
              <w:rPr>
                <w:noProof/>
                <w:webHidden/>
              </w:rPr>
              <w:tab/>
            </w:r>
            <w:r w:rsidR="006C4A9B">
              <w:rPr>
                <w:noProof/>
                <w:webHidden/>
              </w:rPr>
              <w:fldChar w:fldCharType="begin"/>
            </w:r>
            <w:r w:rsidR="006C4A9B">
              <w:rPr>
                <w:noProof/>
                <w:webHidden/>
              </w:rPr>
              <w:instrText xml:space="preserve"> PAGEREF _Toc209047122 \h </w:instrText>
            </w:r>
            <w:r w:rsidR="006C4A9B">
              <w:rPr>
                <w:noProof/>
                <w:webHidden/>
              </w:rPr>
            </w:r>
            <w:r w:rsidR="006C4A9B">
              <w:rPr>
                <w:noProof/>
                <w:webHidden/>
              </w:rPr>
              <w:fldChar w:fldCharType="separate"/>
            </w:r>
            <w:r w:rsidR="006C4A9B">
              <w:rPr>
                <w:noProof/>
                <w:webHidden/>
              </w:rPr>
              <w:t>37</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23" w:history="1">
            <w:r w:rsidR="006C4A9B" w:rsidRPr="007179FC">
              <w:rPr>
                <w:rStyle w:val="Hyperlink"/>
                <w:rFonts w:ascii="Rockwell" w:eastAsia="Times New Roman" w:hAnsi="Rockwell" w:cs="Times New Roman"/>
                <w:b/>
                <w:noProof/>
              </w:rPr>
              <w:t>c)Waste Management:</w:t>
            </w:r>
            <w:r w:rsidR="006C4A9B">
              <w:rPr>
                <w:noProof/>
                <w:webHidden/>
              </w:rPr>
              <w:tab/>
            </w:r>
            <w:r w:rsidR="006C4A9B">
              <w:rPr>
                <w:noProof/>
                <w:webHidden/>
              </w:rPr>
              <w:fldChar w:fldCharType="begin"/>
            </w:r>
            <w:r w:rsidR="006C4A9B">
              <w:rPr>
                <w:noProof/>
                <w:webHidden/>
              </w:rPr>
              <w:instrText xml:space="preserve"> PAGEREF _Toc209047123 \h </w:instrText>
            </w:r>
            <w:r w:rsidR="006C4A9B">
              <w:rPr>
                <w:noProof/>
                <w:webHidden/>
              </w:rPr>
            </w:r>
            <w:r w:rsidR="006C4A9B">
              <w:rPr>
                <w:noProof/>
                <w:webHidden/>
              </w:rPr>
              <w:fldChar w:fldCharType="separate"/>
            </w:r>
            <w:r w:rsidR="006C4A9B">
              <w:rPr>
                <w:noProof/>
                <w:webHidden/>
              </w:rPr>
              <w:t>37</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24" w:history="1">
            <w:r w:rsidR="006C4A9B" w:rsidRPr="007179FC">
              <w:rPr>
                <w:rStyle w:val="Hyperlink"/>
                <w:rFonts w:ascii="Rockwell" w:eastAsia="Times New Roman" w:hAnsi="Rockwell" w:cs="Times New Roman"/>
                <w:b/>
                <w:noProof/>
              </w:rPr>
              <w:t>d) Soil Quality:</w:t>
            </w:r>
            <w:r w:rsidR="006C4A9B">
              <w:rPr>
                <w:noProof/>
                <w:webHidden/>
              </w:rPr>
              <w:tab/>
            </w:r>
            <w:r w:rsidR="006C4A9B">
              <w:rPr>
                <w:noProof/>
                <w:webHidden/>
              </w:rPr>
              <w:fldChar w:fldCharType="begin"/>
            </w:r>
            <w:r w:rsidR="006C4A9B">
              <w:rPr>
                <w:noProof/>
                <w:webHidden/>
              </w:rPr>
              <w:instrText xml:space="preserve"> PAGEREF _Toc209047124 \h </w:instrText>
            </w:r>
            <w:r w:rsidR="006C4A9B">
              <w:rPr>
                <w:noProof/>
                <w:webHidden/>
              </w:rPr>
            </w:r>
            <w:r w:rsidR="006C4A9B">
              <w:rPr>
                <w:noProof/>
                <w:webHidden/>
              </w:rPr>
              <w:fldChar w:fldCharType="separate"/>
            </w:r>
            <w:r w:rsidR="006C4A9B">
              <w:rPr>
                <w:noProof/>
                <w:webHidden/>
              </w:rPr>
              <w:t>38</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25" w:history="1">
            <w:r w:rsidR="006C4A9B" w:rsidRPr="007179FC">
              <w:rPr>
                <w:rStyle w:val="Hyperlink"/>
                <w:rFonts w:ascii="Rockwell" w:eastAsia="Times New Roman" w:hAnsi="Rockwell" w:cs="Times New Roman"/>
                <w:b/>
                <w:noProof/>
                <w:highlight w:val="yellow"/>
              </w:rPr>
              <w:t xml:space="preserve">e) </w:t>
            </w:r>
            <w:r w:rsidR="006C4A9B" w:rsidRPr="007179FC">
              <w:rPr>
                <w:rStyle w:val="Hyperlink"/>
                <w:rFonts w:ascii="Rockwell" w:hAnsi="Rockwell"/>
                <w:b/>
                <w:bCs/>
                <w:noProof/>
                <w:highlight w:val="yellow"/>
              </w:rPr>
              <w:t>Chemicals Management in Mining Operations</w:t>
            </w:r>
            <w:r w:rsidR="006C4A9B">
              <w:rPr>
                <w:noProof/>
                <w:webHidden/>
              </w:rPr>
              <w:tab/>
            </w:r>
            <w:r w:rsidR="006C4A9B">
              <w:rPr>
                <w:noProof/>
                <w:webHidden/>
              </w:rPr>
              <w:fldChar w:fldCharType="begin"/>
            </w:r>
            <w:r w:rsidR="006C4A9B">
              <w:rPr>
                <w:noProof/>
                <w:webHidden/>
              </w:rPr>
              <w:instrText xml:space="preserve"> PAGEREF _Toc209047125 \h </w:instrText>
            </w:r>
            <w:r w:rsidR="006C4A9B">
              <w:rPr>
                <w:noProof/>
                <w:webHidden/>
              </w:rPr>
            </w:r>
            <w:r w:rsidR="006C4A9B">
              <w:rPr>
                <w:noProof/>
                <w:webHidden/>
              </w:rPr>
              <w:fldChar w:fldCharType="separate"/>
            </w:r>
            <w:r w:rsidR="006C4A9B">
              <w:rPr>
                <w:noProof/>
                <w:webHidden/>
              </w:rPr>
              <w:t>38</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26" w:history="1">
            <w:r w:rsidR="006C4A9B" w:rsidRPr="007179FC">
              <w:rPr>
                <w:rStyle w:val="Hyperlink"/>
                <w:rFonts w:ascii="Rockwell" w:eastAsia="Times New Roman" w:hAnsi="Rockwell" w:cs="Times New Roman"/>
                <w:b/>
                <w:noProof/>
              </w:rPr>
              <w:t>f) Biodiversity</w:t>
            </w:r>
            <w:r w:rsidR="006C4A9B">
              <w:rPr>
                <w:noProof/>
                <w:webHidden/>
              </w:rPr>
              <w:tab/>
            </w:r>
            <w:r w:rsidR="006C4A9B">
              <w:rPr>
                <w:noProof/>
                <w:webHidden/>
              </w:rPr>
              <w:fldChar w:fldCharType="begin"/>
            </w:r>
            <w:r w:rsidR="006C4A9B">
              <w:rPr>
                <w:noProof/>
                <w:webHidden/>
              </w:rPr>
              <w:instrText xml:space="preserve"> PAGEREF _Toc209047126 \h </w:instrText>
            </w:r>
            <w:r w:rsidR="006C4A9B">
              <w:rPr>
                <w:noProof/>
                <w:webHidden/>
              </w:rPr>
            </w:r>
            <w:r w:rsidR="006C4A9B">
              <w:rPr>
                <w:noProof/>
                <w:webHidden/>
              </w:rPr>
              <w:fldChar w:fldCharType="separate"/>
            </w:r>
            <w:r w:rsidR="006C4A9B">
              <w:rPr>
                <w:noProof/>
                <w:webHidden/>
              </w:rPr>
              <w:t>40</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27" w:history="1">
            <w:r w:rsidR="006C4A9B" w:rsidRPr="007179FC">
              <w:rPr>
                <w:rStyle w:val="Hyperlink"/>
                <w:rFonts w:ascii="Rockwell" w:eastAsia="Times New Roman" w:hAnsi="Rockwell" w:cs="Times New Roman"/>
                <w:b/>
                <w:noProof/>
              </w:rPr>
              <w:t>f) Tailing Storage Facility (TSF) Management</w:t>
            </w:r>
            <w:r w:rsidR="006C4A9B">
              <w:rPr>
                <w:noProof/>
                <w:webHidden/>
              </w:rPr>
              <w:tab/>
            </w:r>
            <w:r w:rsidR="006C4A9B">
              <w:rPr>
                <w:noProof/>
                <w:webHidden/>
              </w:rPr>
              <w:fldChar w:fldCharType="begin"/>
            </w:r>
            <w:r w:rsidR="006C4A9B">
              <w:rPr>
                <w:noProof/>
                <w:webHidden/>
              </w:rPr>
              <w:instrText xml:space="preserve"> PAGEREF _Toc209047127 \h </w:instrText>
            </w:r>
            <w:r w:rsidR="006C4A9B">
              <w:rPr>
                <w:noProof/>
                <w:webHidden/>
              </w:rPr>
            </w:r>
            <w:r w:rsidR="006C4A9B">
              <w:rPr>
                <w:noProof/>
                <w:webHidden/>
              </w:rPr>
              <w:fldChar w:fldCharType="separate"/>
            </w:r>
            <w:r w:rsidR="006C4A9B">
              <w:rPr>
                <w:noProof/>
                <w:webHidden/>
              </w:rPr>
              <w:t>40</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28" w:history="1">
            <w:r w:rsidR="006C4A9B" w:rsidRPr="007179FC">
              <w:rPr>
                <w:rStyle w:val="Hyperlink"/>
                <w:rFonts w:ascii="Rockwell" w:eastAsia="Times New Roman" w:hAnsi="Rockwell" w:cs="Times New Roman"/>
                <w:b/>
                <w:noProof/>
              </w:rPr>
              <w:t>g) Disused and abandoned mine pits</w:t>
            </w:r>
            <w:r w:rsidR="006C4A9B">
              <w:rPr>
                <w:noProof/>
                <w:webHidden/>
              </w:rPr>
              <w:tab/>
            </w:r>
            <w:r w:rsidR="006C4A9B">
              <w:rPr>
                <w:noProof/>
                <w:webHidden/>
              </w:rPr>
              <w:fldChar w:fldCharType="begin"/>
            </w:r>
            <w:r w:rsidR="006C4A9B">
              <w:rPr>
                <w:noProof/>
                <w:webHidden/>
              </w:rPr>
              <w:instrText xml:space="preserve"> PAGEREF _Toc209047128 \h </w:instrText>
            </w:r>
            <w:r w:rsidR="006C4A9B">
              <w:rPr>
                <w:noProof/>
                <w:webHidden/>
              </w:rPr>
            </w:r>
            <w:r w:rsidR="006C4A9B">
              <w:rPr>
                <w:noProof/>
                <w:webHidden/>
              </w:rPr>
              <w:fldChar w:fldCharType="separate"/>
            </w:r>
            <w:r w:rsidR="006C4A9B">
              <w:rPr>
                <w:noProof/>
                <w:webHidden/>
              </w:rPr>
              <w:t>41</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29" w:history="1">
            <w:r w:rsidR="006C4A9B" w:rsidRPr="007179FC">
              <w:rPr>
                <w:rStyle w:val="Hyperlink"/>
                <w:rFonts w:ascii="Rockwell" w:eastAsia="Times New Roman" w:hAnsi="Rockwell" w:cs="Times New Roman"/>
                <w:b/>
                <w:noProof/>
              </w:rPr>
              <w:t>h) Infrastructure</w:t>
            </w:r>
            <w:r w:rsidR="006C4A9B">
              <w:rPr>
                <w:noProof/>
                <w:webHidden/>
              </w:rPr>
              <w:tab/>
            </w:r>
            <w:r w:rsidR="006C4A9B">
              <w:rPr>
                <w:noProof/>
                <w:webHidden/>
              </w:rPr>
              <w:fldChar w:fldCharType="begin"/>
            </w:r>
            <w:r w:rsidR="006C4A9B">
              <w:rPr>
                <w:noProof/>
                <w:webHidden/>
              </w:rPr>
              <w:instrText xml:space="preserve"> PAGEREF _Toc209047129 \h </w:instrText>
            </w:r>
            <w:r w:rsidR="006C4A9B">
              <w:rPr>
                <w:noProof/>
                <w:webHidden/>
              </w:rPr>
            </w:r>
            <w:r w:rsidR="006C4A9B">
              <w:rPr>
                <w:noProof/>
                <w:webHidden/>
              </w:rPr>
              <w:fldChar w:fldCharType="separate"/>
            </w:r>
            <w:r w:rsidR="006C4A9B">
              <w:rPr>
                <w:noProof/>
                <w:webHidden/>
              </w:rPr>
              <w:t>41</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30" w:history="1">
            <w:r w:rsidR="006C4A9B" w:rsidRPr="007179FC">
              <w:rPr>
                <w:rStyle w:val="Hyperlink"/>
                <w:rFonts w:ascii="Rockwell" w:eastAsia="Times New Roman" w:hAnsi="Rockwell" w:cs="Times New Roman"/>
                <w:b/>
                <w:noProof/>
              </w:rPr>
              <w:t>i) Disposal of Mining Machinery and Equipment</w:t>
            </w:r>
            <w:r w:rsidR="006C4A9B">
              <w:rPr>
                <w:noProof/>
                <w:webHidden/>
              </w:rPr>
              <w:tab/>
            </w:r>
            <w:r w:rsidR="006C4A9B">
              <w:rPr>
                <w:noProof/>
                <w:webHidden/>
              </w:rPr>
              <w:fldChar w:fldCharType="begin"/>
            </w:r>
            <w:r w:rsidR="006C4A9B">
              <w:rPr>
                <w:noProof/>
                <w:webHidden/>
              </w:rPr>
              <w:instrText xml:space="preserve"> PAGEREF _Toc209047130 \h </w:instrText>
            </w:r>
            <w:r w:rsidR="006C4A9B">
              <w:rPr>
                <w:noProof/>
                <w:webHidden/>
              </w:rPr>
            </w:r>
            <w:r w:rsidR="006C4A9B">
              <w:rPr>
                <w:noProof/>
                <w:webHidden/>
              </w:rPr>
              <w:fldChar w:fldCharType="separate"/>
            </w:r>
            <w:r w:rsidR="006C4A9B">
              <w:rPr>
                <w:noProof/>
                <w:webHidden/>
              </w:rPr>
              <w:t>41</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31" w:history="1">
            <w:r w:rsidR="006C4A9B" w:rsidRPr="007179FC">
              <w:rPr>
                <w:rStyle w:val="Hyperlink"/>
                <w:rFonts w:ascii="Rockwell" w:eastAsia="Times New Roman" w:hAnsi="Rockwell" w:cs="Times New Roman"/>
                <w:b/>
                <w:noProof/>
              </w:rPr>
              <w:t>j) Safety and Security</w:t>
            </w:r>
            <w:r w:rsidR="006C4A9B">
              <w:rPr>
                <w:noProof/>
                <w:webHidden/>
              </w:rPr>
              <w:tab/>
            </w:r>
            <w:r w:rsidR="006C4A9B">
              <w:rPr>
                <w:noProof/>
                <w:webHidden/>
              </w:rPr>
              <w:fldChar w:fldCharType="begin"/>
            </w:r>
            <w:r w:rsidR="006C4A9B">
              <w:rPr>
                <w:noProof/>
                <w:webHidden/>
              </w:rPr>
              <w:instrText xml:space="preserve"> PAGEREF _Toc209047131 \h </w:instrText>
            </w:r>
            <w:r w:rsidR="006C4A9B">
              <w:rPr>
                <w:noProof/>
                <w:webHidden/>
              </w:rPr>
            </w:r>
            <w:r w:rsidR="006C4A9B">
              <w:rPr>
                <w:noProof/>
                <w:webHidden/>
              </w:rPr>
              <w:fldChar w:fldCharType="separate"/>
            </w:r>
            <w:r w:rsidR="006C4A9B">
              <w:rPr>
                <w:noProof/>
                <w:webHidden/>
              </w:rPr>
              <w:t>42</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32" w:history="1">
            <w:r w:rsidR="006C4A9B" w:rsidRPr="007179FC">
              <w:rPr>
                <w:rStyle w:val="Hyperlink"/>
                <w:rFonts w:ascii="Rockwell" w:eastAsia="Times New Roman" w:hAnsi="Rockwell" w:cs="Times New Roman"/>
                <w:b/>
                <w:noProof/>
              </w:rPr>
              <w:t>k) Disaster Management and Risk Assessment</w:t>
            </w:r>
            <w:r w:rsidR="006C4A9B">
              <w:rPr>
                <w:noProof/>
                <w:webHidden/>
              </w:rPr>
              <w:tab/>
            </w:r>
            <w:r w:rsidR="006C4A9B">
              <w:rPr>
                <w:noProof/>
                <w:webHidden/>
              </w:rPr>
              <w:fldChar w:fldCharType="begin"/>
            </w:r>
            <w:r w:rsidR="006C4A9B">
              <w:rPr>
                <w:noProof/>
                <w:webHidden/>
              </w:rPr>
              <w:instrText xml:space="preserve"> PAGEREF _Toc209047132 \h </w:instrText>
            </w:r>
            <w:r w:rsidR="006C4A9B">
              <w:rPr>
                <w:noProof/>
                <w:webHidden/>
              </w:rPr>
            </w:r>
            <w:r w:rsidR="006C4A9B">
              <w:rPr>
                <w:noProof/>
                <w:webHidden/>
              </w:rPr>
              <w:fldChar w:fldCharType="separate"/>
            </w:r>
            <w:r w:rsidR="006C4A9B">
              <w:rPr>
                <w:noProof/>
                <w:webHidden/>
              </w:rPr>
              <w:t>42</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33" w:history="1">
            <w:r w:rsidR="006C4A9B" w:rsidRPr="007179FC">
              <w:rPr>
                <w:rStyle w:val="Hyperlink"/>
                <w:rFonts w:ascii="Rockwell" w:eastAsia="Times New Roman" w:hAnsi="Rockwell" w:cs="Times New Roman"/>
                <w:b/>
                <w:noProof/>
              </w:rPr>
              <w:t>l) Care and maintenance during temporary discontinuance</w:t>
            </w:r>
            <w:r w:rsidR="006C4A9B">
              <w:rPr>
                <w:noProof/>
                <w:webHidden/>
              </w:rPr>
              <w:tab/>
            </w:r>
            <w:r w:rsidR="006C4A9B">
              <w:rPr>
                <w:noProof/>
                <w:webHidden/>
              </w:rPr>
              <w:fldChar w:fldCharType="begin"/>
            </w:r>
            <w:r w:rsidR="006C4A9B">
              <w:rPr>
                <w:noProof/>
                <w:webHidden/>
              </w:rPr>
              <w:instrText xml:space="preserve"> PAGEREF _Toc209047133 \h </w:instrText>
            </w:r>
            <w:r w:rsidR="006C4A9B">
              <w:rPr>
                <w:noProof/>
                <w:webHidden/>
              </w:rPr>
            </w:r>
            <w:r w:rsidR="006C4A9B">
              <w:rPr>
                <w:noProof/>
                <w:webHidden/>
              </w:rPr>
              <w:fldChar w:fldCharType="separate"/>
            </w:r>
            <w:r w:rsidR="006C4A9B">
              <w:rPr>
                <w:noProof/>
                <w:webHidden/>
              </w:rPr>
              <w:t>42</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34" w:history="1">
            <w:r w:rsidR="006C4A9B" w:rsidRPr="007179FC">
              <w:rPr>
                <w:rStyle w:val="Hyperlink"/>
                <w:rFonts w:ascii="Rockwell" w:eastAsia="Times New Roman" w:hAnsi="Rockwell" w:cs="Times New Roman"/>
                <w:b/>
                <w:noProof/>
              </w:rPr>
              <w:t>m) Visual Amenity</w:t>
            </w:r>
            <w:r w:rsidR="006C4A9B">
              <w:rPr>
                <w:noProof/>
                <w:webHidden/>
              </w:rPr>
              <w:tab/>
            </w:r>
            <w:r w:rsidR="006C4A9B">
              <w:rPr>
                <w:noProof/>
                <w:webHidden/>
              </w:rPr>
              <w:fldChar w:fldCharType="begin"/>
            </w:r>
            <w:r w:rsidR="006C4A9B">
              <w:rPr>
                <w:noProof/>
                <w:webHidden/>
              </w:rPr>
              <w:instrText xml:space="preserve"> PAGEREF _Toc209047134 \h </w:instrText>
            </w:r>
            <w:r w:rsidR="006C4A9B">
              <w:rPr>
                <w:noProof/>
                <w:webHidden/>
              </w:rPr>
            </w:r>
            <w:r w:rsidR="006C4A9B">
              <w:rPr>
                <w:noProof/>
                <w:webHidden/>
              </w:rPr>
              <w:fldChar w:fldCharType="separate"/>
            </w:r>
            <w:r w:rsidR="006C4A9B">
              <w:rPr>
                <w:noProof/>
                <w:webHidden/>
              </w:rPr>
              <w:t>43</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35" w:history="1">
            <w:r w:rsidR="006C4A9B" w:rsidRPr="007179FC">
              <w:rPr>
                <w:rStyle w:val="Hyperlink"/>
                <w:rFonts w:ascii="Rockwell" w:eastAsia="Times New Roman" w:hAnsi="Rockwell" w:cs="Times New Roman"/>
                <w:noProof/>
              </w:rPr>
              <w:t xml:space="preserve">n) </w:t>
            </w:r>
            <w:r w:rsidR="006C4A9B" w:rsidRPr="007179FC">
              <w:rPr>
                <w:rStyle w:val="Hyperlink"/>
                <w:rFonts w:ascii="Rockwell" w:eastAsia="Times New Roman" w:hAnsi="Rockwell" w:cs="Times New Roman"/>
                <w:b/>
                <w:noProof/>
              </w:rPr>
              <w:t>Heritage and Cultural Aspects</w:t>
            </w:r>
            <w:r w:rsidR="006C4A9B">
              <w:rPr>
                <w:noProof/>
                <w:webHidden/>
              </w:rPr>
              <w:tab/>
            </w:r>
            <w:r w:rsidR="006C4A9B">
              <w:rPr>
                <w:noProof/>
                <w:webHidden/>
              </w:rPr>
              <w:fldChar w:fldCharType="begin"/>
            </w:r>
            <w:r w:rsidR="006C4A9B">
              <w:rPr>
                <w:noProof/>
                <w:webHidden/>
              </w:rPr>
              <w:instrText xml:space="preserve"> PAGEREF _Toc209047135 \h </w:instrText>
            </w:r>
            <w:r w:rsidR="006C4A9B">
              <w:rPr>
                <w:noProof/>
                <w:webHidden/>
              </w:rPr>
            </w:r>
            <w:r w:rsidR="006C4A9B">
              <w:rPr>
                <w:noProof/>
                <w:webHidden/>
              </w:rPr>
              <w:fldChar w:fldCharType="separate"/>
            </w:r>
            <w:r w:rsidR="006C4A9B">
              <w:rPr>
                <w:noProof/>
                <w:webHidden/>
              </w:rPr>
              <w:t>43</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36" w:history="1">
            <w:r w:rsidR="006C4A9B" w:rsidRPr="007179FC">
              <w:rPr>
                <w:rStyle w:val="Hyperlink"/>
                <w:rFonts w:ascii="Rockwell" w:eastAsia="Times New Roman" w:hAnsi="Rockwell" w:cs="Times New Roman"/>
                <w:b/>
                <w:noProof/>
              </w:rPr>
              <w:t>o) Grievance Redress Mechanism</w:t>
            </w:r>
            <w:r w:rsidR="006C4A9B">
              <w:rPr>
                <w:noProof/>
                <w:webHidden/>
              </w:rPr>
              <w:tab/>
            </w:r>
            <w:r w:rsidR="006C4A9B">
              <w:rPr>
                <w:noProof/>
                <w:webHidden/>
              </w:rPr>
              <w:fldChar w:fldCharType="begin"/>
            </w:r>
            <w:r w:rsidR="006C4A9B">
              <w:rPr>
                <w:noProof/>
                <w:webHidden/>
              </w:rPr>
              <w:instrText xml:space="preserve"> PAGEREF _Toc209047136 \h </w:instrText>
            </w:r>
            <w:r w:rsidR="006C4A9B">
              <w:rPr>
                <w:noProof/>
                <w:webHidden/>
              </w:rPr>
            </w:r>
            <w:r w:rsidR="006C4A9B">
              <w:rPr>
                <w:noProof/>
                <w:webHidden/>
              </w:rPr>
              <w:fldChar w:fldCharType="separate"/>
            </w:r>
            <w:r w:rsidR="006C4A9B">
              <w:rPr>
                <w:noProof/>
                <w:webHidden/>
              </w:rPr>
              <w:t>43</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37" w:history="1">
            <w:r w:rsidR="006C4A9B" w:rsidRPr="007179FC">
              <w:rPr>
                <w:rStyle w:val="Hyperlink"/>
                <w:rFonts w:ascii="Rockwell" w:eastAsia="Times New Roman" w:hAnsi="Rockwell" w:cs="Times New Roman"/>
                <w:b/>
                <w:noProof/>
              </w:rPr>
              <w:t>p) Post-Mining Land Use and Closure Objectives</w:t>
            </w:r>
            <w:r w:rsidR="006C4A9B">
              <w:rPr>
                <w:noProof/>
                <w:webHidden/>
              </w:rPr>
              <w:tab/>
            </w:r>
            <w:r w:rsidR="006C4A9B">
              <w:rPr>
                <w:noProof/>
                <w:webHidden/>
              </w:rPr>
              <w:fldChar w:fldCharType="begin"/>
            </w:r>
            <w:r w:rsidR="006C4A9B">
              <w:rPr>
                <w:noProof/>
                <w:webHidden/>
              </w:rPr>
              <w:instrText xml:space="preserve"> PAGEREF _Toc209047137 \h </w:instrText>
            </w:r>
            <w:r w:rsidR="006C4A9B">
              <w:rPr>
                <w:noProof/>
                <w:webHidden/>
              </w:rPr>
            </w:r>
            <w:r w:rsidR="006C4A9B">
              <w:rPr>
                <w:noProof/>
                <w:webHidden/>
              </w:rPr>
              <w:fldChar w:fldCharType="separate"/>
            </w:r>
            <w:r w:rsidR="006C4A9B">
              <w:rPr>
                <w:noProof/>
                <w:webHidden/>
              </w:rPr>
              <w:t>43</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38" w:history="1">
            <w:r w:rsidR="006C4A9B" w:rsidRPr="007179FC">
              <w:rPr>
                <w:rStyle w:val="Hyperlink"/>
                <w:rFonts w:ascii="Rockwell" w:eastAsia="Times New Roman" w:hAnsi="Rockwell" w:cs="Times New Roman"/>
                <w:b/>
                <w:noProof/>
              </w:rPr>
              <w:t>q) Typical Post-Closure Activities</w:t>
            </w:r>
            <w:r w:rsidR="006C4A9B">
              <w:rPr>
                <w:noProof/>
                <w:webHidden/>
              </w:rPr>
              <w:tab/>
            </w:r>
            <w:r w:rsidR="006C4A9B">
              <w:rPr>
                <w:noProof/>
                <w:webHidden/>
              </w:rPr>
              <w:fldChar w:fldCharType="begin"/>
            </w:r>
            <w:r w:rsidR="006C4A9B">
              <w:rPr>
                <w:noProof/>
                <w:webHidden/>
              </w:rPr>
              <w:instrText xml:space="preserve"> PAGEREF _Toc209047138 \h </w:instrText>
            </w:r>
            <w:r w:rsidR="006C4A9B">
              <w:rPr>
                <w:noProof/>
                <w:webHidden/>
              </w:rPr>
            </w:r>
            <w:r w:rsidR="006C4A9B">
              <w:rPr>
                <w:noProof/>
                <w:webHidden/>
              </w:rPr>
              <w:fldChar w:fldCharType="separate"/>
            </w:r>
            <w:r w:rsidR="006C4A9B">
              <w:rPr>
                <w:noProof/>
                <w:webHidden/>
              </w:rPr>
              <w:t>44</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39" w:history="1">
            <w:r w:rsidR="006C4A9B" w:rsidRPr="007179FC">
              <w:rPr>
                <w:rStyle w:val="Hyperlink"/>
                <w:rFonts w:ascii="Rockwell" w:eastAsia="Times New Roman" w:hAnsi="Rockwell" w:cs="Times New Roman"/>
                <w:b/>
                <w:noProof/>
              </w:rPr>
              <w:t>r) Identification of Closure Obligations and Commitments</w:t>
            </w:r>
            <w:r w:rsidR="006C4A9B">
              <w:rPr>
                <w:noProof/>
                <w:webHidden/>
              </w:rPr>
              <w:tab/>
            </w:r>
            <w:r w:rsidR="006C4A9B">
              <w:rPr>
                <w:noProof/>
                <w:webHidden/>
              </w:rPr>
              <w:fldChar w:fldCharType="begin"/>
            </w:r>
            <w:r w:rsidR="006C4A9B">
              <w:rPr>
                <w:noProof/>
                <w:webHidden/>
              </w:rPr>
              <w:instrText xml:space="preserve"> PAGEREF _Toc209047139 \h </w:instrText>
            </w:r>
            <w:r w:rsidR="006C4A9B">
              <w:rPr>
                <w:noProof/>
                <w:webHidden/>
              </w:rPr>
            </w:r>
            <w:r w:rsidR="006C4A9B">
              <w:rPr>
                <w:noProof/>
                <w:webHidden/>
              </w:rPr>
              <w:fldChar w:fldCharType="separate"/>
            </w:r>
            <w:r w:rsidR="006C4A9B">
              <w:rPr>
                <w:noProof/>
                <w:webHidden/>
              </w:rPr>
              <w:t>44</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40" w:history="1">
            <w:r w:rsidR="006C4A9B" w:rsidRPr="007179FC">
              <w:rPr>
                <w:rStyle w:val="Hyperlink"/>
                <w:rFonts w:ascii="Rockwell" w:eastAsia="Times New Roman" w:hAnsi="Rockwell" w:cs="Times New Roman"/>
                <w:b/>
                <w:noProof/>
              </w:rPr>
              <w:t>s) Engagement with the Project Affected Persons, Local Communities and other Stakeholders</w:t>
            </w:r>
            <w:r w:rsidR="006C4A9B">
              <w:rPr>
                <w:noProof/>
                <w:webHidden/>
              </w:rPr>
              <w:tab/>
            </w:r>
            <w:r w:rsidR="006C4A9B">
              <w:rPr>
                <w:noProof/>
                <w:webHidden/>
              </w:rPr>
              <w:fldChar w:fldCharType="begin"/>
            </w:r>
            <w:r w:rsidR="006C4A9B">
              <w:rPr>
                <w:noProof/>
                <w:webHidden/>
              </w:rPr>
              <w:instrText xml:space="preserve"> PAGEREF _Toc209047140 \h </w:instrText>
            </w:r>
            <w:r w:rsidR="006C4A9B">
              <w:rPr>
                <w:noProof/>
                <w:webHidden/>
              </w:rPr>
            </w:r>
            <w:r w:rsidR="006C4A9B">
              <w:rPr>
                <w:noProof/>
                <w:webHidden/>
              </w:rPr>
              <w:fldChar w:fldCharType="separate"/>
            </w:r>
            <w:r w:rsidR="006C4A9B">
              <w:rPr>
                <w:noProof/>
                <w:webHidden/>
              </w:rPr>
              <w:t>45</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41" w:history="1">
            <w:r w:rsidR="006C4A9B" w:rsidRPr="007179FC">
              <w:rPr>
                <w:rStyle w:val="Hyperlink"/>
                <w:rFonts w:ascii="Rockwell" w:eastAsia="Times New Roman" w:hAnsi="Rockwell" w:cs="Times New Roman"/>
                <w:b/>
                <w:noProof/>
              </w:rPr>
              <w:t>t) Post closure Audits and Monitoring Responsibilities</w:t>
            </w:r>
            <w:r w:rsidR="006C4A9B">
              <w:rPr>
                <w:noProof/>
                <w:webHidden/>
              </w:rPr>
              <w:tab/>
            </w:r>
            <w:r w:rsidR="006C4A9B">
              <w:rPr>
                <w:noProof/>
                <w:webHidden/>
              </w:rPr>
              <w:fldChar w:fldCharType="begin"/>
            </w:r>
            <w:r w:rsidR="006C4A9B">
              <w:rPr>
                <w:noProof/>
                <w:webHidden/>
              </w:rPr>
              <w:instrText xml:space="preserve"> PAGEREF _Toc209047141 \h </w:instrText>
            </w:r>
            <w:r w:rsidR="006C4A9B">
              <w:rPr>
                <w:noProof/>
                <w:webHidden/>
              </w:rPr>
            </w:r>
            <w:r w:rsidR="006C4A9B">
              <w:rPr>
                <w:noProof/>
                <w:webHidden/>
              </w:rPr>
              <w:fldChar w:fldCharType="separate"/>
            </w:r>
            <w:r w:rsidR="006C4A9B">
              <w:rPr>
                <w:noProof/>
                <w:webHidden/>
              </w:rPr>
              <w:t>46</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42" w:history="1">
            <w:r w:rsidR="006C4A9B" w:rsidRPr="007179FC">
              <w:rPr>
                <w:rStyle w:val="Hyperlink"/>
                <w:rFonts w:ascii="Rockwell" w:eastAsia="Times New Roman" w:hAnsi="Rockwell" w:cs="Times New Roman"/>
                <w:b/>
                <w:noProof/>
              </w:rPr>
              <w:t>u) Financial Provision for Closure</w:t>
            </w:r>
            <w:r w:rsidR="006C4A9B">
              <w:rPr>
                <w:noProof/>
                <w:webHidden/>
              </w:rPr>
              <w:tab/>
            </w:r>
            <w:r w:rsidR="006C4A9B">
              <w:rPr>
                <w:noProof/>
                <w:webHidden/>
              </w:rPr>
              <w:fldChar w:fldCharType="begin"/>
            </w:r>
            <w:r w:rsidR="006C4A9B">
              <w:rPr>
                <w:noProof/>
                <w:webHidden/>
              </w:rPr>
              <w:instrText xml:space="preserve"> PAGEREF _Toc209047142 \h </w:instrText>
            </w:r>
            <w:r w:rsidR="006C4A9B">
              <w:rPr>
                <w:noProof/>
                <w:webHidden/>
              </w:rPr>
            </w:r>
            <w:r w:rsidR="006C4A9B">
              <w:rPr>
                <w:noProof/>
                <w:webHidden/>
              </w:rPr>
              <w:fldChar w:fldCharType="separate"/>
            </w:r>
            <w:r w:rsidR="006C4A9B">
              <w:rPr>
                <w:noProof/>
                <w:webHidden/>
              </w:rPr>
              <w:t>47</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43" w:history="1">
            <w:r w:rsidR="006C4A9B" w:rsidRPr="007179FC">
              <w:rPr>
                <w:rStyle w:val="Hyperlink"/>
                <w:rFonts w:ascii="Rockwell" w:eastAsia="Times New Roman" w:hAnsi="Rockwell" w:cs="Times New Roman"/>
                <w:b/>
                <w:noProof/>
              </w:rPr>
              <w:t>4.2 Remediation Liability Estimation</w:t>
            </w:r>
            <w:r w:rsidR="006C4A9B">
              <w:rPr>
                <w:noProof/>
                <w:webHidden/>
              </w:rPr>
              <w:tab/>
            </w:r>
            <w:r w:rsidR="006C4A9B">
              <w:rPr>
                <w:noProof/>
                <w:webHidden/>
              </w:rPr>
              <w:fldChar w:fldCharType="begin"/>
            </w:r>
            <w:r w:rsidR="006C4A9B">
              <w:rPr>
                <w:noProof/>
                <w:webHidden/>
              </w:rPr>
              <w:instrText xml:space="preserve"> PAGEREF _Toc209047143 \h </w:instrText>
            </w:r>
            <w:r w:rsidR="006C4A9B">
              <w:rPr>
                <w:noProof/>
                <w:webHidden/>
              </w:rPr>
            </w:r>
            <w:r w:rsidR="006C4A9B">
              <w:rPr>
                <w:noProof/>
                <w:webHidden/>
              </w:rPr>
              <w:fldChar w:fldCharType="separate"/>
            </w:r>
            <w:r w:rsidR="006C4A9B">
              <w:rPr>
                <w:noProof/>
                <w:webHidden/>
              </w:rPr>
              <w:t>47</w:t>
            </w:r>
            <w:r w:rsidR="006C4A9B">
              <w:rPr>
                <w:noProof/>
                <w:webHidden/>
              </w:rPr>
              <w:fldChar w:fldCharType="end"/>
            </w:r>
          </w:hyperlink>
        </w:p>
        <w:p w:rsidR="006C4A9B" w:rsidRDefault="00106C88">
          <w:pPr>
            <w:pStyle w:val="TOC2"/>
            <w:tabs>
              <w:tab w:val="right" w:leader="dot" w:pos="9062"/>
            </w:tabs>
            <w:rPr>
              <w:rFonts w:asciiTheme="minorHAnsi" w:eastAsiaTheme="minorEastAsia" w:hAnsiTheme="minorHAnsi" w:cstheme="minorBidi"/>
              <w:noProof/>
              <w:lang w:val="en-US"/>
            </w:rPr>
          </w:pPr>
          <w:hyperlink w:anchor="_Toc209047144" w:history="1">
            <w:r w:rsidR="006C4A9B" w:rsidRPr="007179FC">
              <w:rPr>
                <w:rStyle w:val="Hyperlink"/>
                <w:rFonts w:ascii="Rockwell" w:eastAsia="Times New Roman" w:hAnsi="Rockwell" w:cs="Times New Roman"/>
                <w:b/>
                <w:noProof/>
              </w:rPr>
              <w:t>4.2.1 Variations in the way that the liability estimates are calculated</w:t>
            </w:r>
            <w:r w:rsidR="006C4A9B">
              <w:rPr>
                <w:noProof/>
                <w:webHidden/>
              </w:rPr>
              <w:tab/>
            </w:r>
            <w:r w:rsidR="006C4A9B">
              <w:rPr>
                <w:noProof/>
                <w:webHidden/>
              </w:rPr>
              <w:fldChar w:fldCharType="begin"/>
            </w:r>
            <w:r w:rsidR="006C4A9B">
              <w:rPr>
                <w:noProof/>
                <w:webHidden/>
              </w:rPr>
              <w:instrText xml:space="preserve"> PAGEREF _Toc209047144 \h </w:instrText>
            </w:r>
            <w:r w:rsidR="006C4A9B">
              <w:rPr>
                <w:noProof/>
                <w:webHidden/>
              </w:rPr>
            </w:r>
            <w:r w:rsidR="006C4A9B">
              <w:rPr>
                <w:noProof/>
                <w:webHidden/>
              </w:rPr>
              <w:fldChar w:fldCharType="separate"/>
            </w:r>
            <w:r w:rsidR="006C4A9B">
              <w:rPr>
                <w:noProof/>
                <w:webHidden/>
              </w:rPr>
              <w:t>47</w:t>
            </w:r>
            <w:r w:rsidR="006C4A9B">
              <w:rPr>
                <w:noProof/>
                <w:webHidden/>
              </w:rPr>
              <w:fldChar w:fldCharType="end"/>
            </w:r>
          </w:hyperlink>
        </w:p>
        <w:p w:rsidR="006C4A9B" w:rsidRDefault="00106C88">
          <w:pPr>
            <w:pStyle w:val="TOC2"/>
            <w:tabs>
              <w:tab w:val="right" w:leader="dot" w:pos="9062"/>
            </w:tabs>
            <w:rPr>
              <w:rFonts w:asciiTheme="minorHAnsi" w:eastAsiaTheme="minorEastAsia" w:hAnsiTheme="minorHAnsi" w:cstheme="minorBidi"/>
              <w:noProof/>
              <w:lang w:val="en-US"/>
            </w:rPr>
          </w:pPr>
          <w:hyperlink w:anchor="_Toc209047145" w:history="1">
            <w:r w:rsidR="006C4A9B" w:rsidRPr="007179FC">
              <w:rPr>
                <w:rStyle w:val="Hyperlink"/>
                <w:rFonts w:ascii="Rockwell" w:eastAsia="Times New Roman" w:hAnsi="Rockwell" w:cs="Times New Roman"/>
                <w:b/>
                <w:noProof/>
              </w:rPr>
              <w:t>4.2.2 Methods Used to Compute Rehabilitation Bonds</w:t>
            </w:r>
            <w:r w:rsidR="006C4A9B">
              <w:rPr>
                <w:noProof/>
                <w:webHidden/>
              </w:rPr>
              <w:tab/>
            </w:r>
            <w:r w:rsidR="006C4A9B">
              <w:rPr>
                <w:noProof/>
                <w:webHidden/>
              </w:rPr>
              <w:fldChar w:fldCharType="begin"/>
            </w:r>
            <w:r w:rsidR="006C4A9B">
              <w:rPr>
                <w:noProof/>
                <w:webHidden/>
              </w:rPr>
              <w:instrText xml:space="preserve"> PAGEREF _Toc209047145 \h </w:instrText>
            </w:r>
            <w:r w:rsidR="006C4A9B">
              <w:rPr>
                <w:noProof/>
                <w:webHidden/>
              </w:rPr>
            </w:r>
            <w:r w:rsidR="006C4A9B">
              <w:rPr>
                <w:noProof/>
                <w:webHidden/>
              </w:rPr>
              <w:fldChar w:fldCharType="separate"/>
            </w:r>
            <w:r w:rsidR="006C4A9B">
              <w:rPr>
                <w:noProof/>
                <w:webHidden/>
              </w:rPr>
              <w:t>48</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46" w:history="1">
            <w:r w:rsidR="006C4A9B" w:rsidRPr="007179FC">
              <w:rPr>
                <w:rStyle w:val="Hyperlink"/>
                <w:rFonts w:ascii="Rockwell" w:eastAsia="Times New Roman" w:hAnsi="Rockwell" w:cs="Times New Roman"/>
                <w:b/>
                <w:noProof/>
              </w:rPr>
              <w:t>4.2.2.1 Case-by-Case Costing</w:t>
            </w:r>
            <w:r w:rsidR="006C4A9B">
              <w:rPr>
                <w:noProof/>
                <w:webHidden/>
              </w:rPr>
              <w:tab/>
            </w:r>
            <w:r w:rsidR="006C4A9B">
              <w:rPr>
                <w:noProof/>
                <w:webHidden/>
              </w:rPr>
              <w:fldChar w:fldCharType="begin"/>
            </w:r>
            <w:r w:rsidR="006C4A9B">
              <w:rPr>
                <w:noProof/>
                <w:webHidden/>
              </w:rPr>
              <w:instrText xml:space="preserve"> PAGEREF _Toc209047146 \h </w:instrText>
            </w:r>
            <w:r w:rsidR="006C4A9B">
              <w:rPr>
                <w:noProof/>
                <w:webHidden/>
              </w:rPr>
            </w:r>
            <w:r w:rsidR="006C4A9B">
              <w:rPr>
                <w:noProof/>
                <w:webHidden/>
              </w:rPr>
              <w:fldChar w:fldCharType="separate"/>
            </w:r>
            <w:r w:rsidR="006C4A9B">
              <w:rPr>
                <w:noProof/>
                <w:webHidden/>
              </w:rPr>
              <w:t>49</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47" w:history="1">
            <w:r w:rsidR="006C4A9B" w:rsidRPr="007179FC">
              <w:rPr>
                <w:rStyle w:val="Hyperlink"/>
                <w:rFonts w:ascii="Rockwell" w:eastAsia="Times New Roman" w:hAnsi="Rockwell" w:cs="Times New Roman"/>
                <w:b/>
                <w:noProof/>
              </w:rPr>
              <w:t>4.2.2.2 Predetermined Unit Costs</w:t>
            </w:r>
            <w:r w:rsidR="006C4A9B">
              <w:rPr>
                <w:noProof/>
                <w:webHidden/>
              </w:rPr>
              <w:tab/>
            </w:r>
            <w:r w:rsidR="006C4A9B">
              <w:rPr>
                <w:noProof/>
                <w:webHidden/>
              </w:rPr>
              <w:fldChar w:fldCharType="begin"/>
            </w:r>
            <w:r w:rsidR="006C4A9B">
              <w:rPr>
                <w:noProof/>
                <w:webHidden/>
              </w:rPr>
              <w:instrText xml:space="preserve"> PAGEREF _Toc209047147 \h </w:instrText>
            </w:r>
            <w:r w:rsidR="006C4A9B">
              <w:rPr>
                <w:noProof/>
                <w:webHidden/>
              </w:rPr>
            </w:r>
            <w:r w:rsidR="006C4A9B">
              <w:rPr>
                <w:noProof/>
                <w:webHidden/>
              </w:rPr>
              <w:fldChar w:fldCharType="separate"/>
            </w:r>
            <w:r w:rsidR="006C4A9B">
              <w:rPr>
                <w:noProof/>
                <w:webHidden/>
              </w:rPr>
              <w:t>49</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48" w:history="1">
            <w:r w:rsidR="006C4A9B" w:rsidRPr="007179FC">
              <w:rPr>
                <w:rStyle w:val="Hyperlink"/>
                <w:rFonts w:ascii="Rockwell" w:eastAsia="Times New Roman" w:hAnsi="Rockwell" w:cs="Times New Roman"/>
                <w:b/>
                <w:noProof/>
              </w:rPr>
              <w:t>4.2.2.3 Licensee Supplied Rehabilitation Costs</w:t>
            </w:r>
            <w:r w:rsidR="006C4A9B">
              <w:rPr>
                <w:noProof/>
                <w:webHidden/>
              </w:rPr>
              <w:tab/>
            </w:r>
            <w:r w:rsidR="006C4A9B">
              <w:rPr>
                <w:noProof/>
                <w:webHidden/>
              </w:rPr>
              <w:fldChar w:fldCharType="begin"/>
            </w:r>
            <w:r w:rsidR="006C4A9B">
              <w:rPr>
                <w:noProof/>
                <w:webHidden/>
              </w:rPr>
              <w:instrText xml:space="preserve"> PAGEREF _Toc209047148 \h </w:instrText>
            </w:r>
            <w:r w:rsidR="006C4A9B">
              <w:rPr>
                <w:noProof/>
                <w:webHidden/>
              </w:rPr>
            </w:r>
            <w:r w:rsidR="006C4A9B">
              <w:rPr>
                <w:noProof/>
                <w:webHidden/>
              </w:rPr>
              <w:fldChar w:fldCharType="separate"/>
            </w:r>
            <w:r w:rsidR="006C4A9B">
              <w:rPr>
                <w:noProof/>
                <w:webHidden/>
              </w:rPr>
              <w:t>49</w:t>
            </w:r>
            <w:r w:rsidR="006C4A9B">
              <w:rPr>
                <w:noProof/>
                <w:webHidden/>
              </w:rPr>
              <w:fldChar w:fldCharType="end"/>
            </w:r>
          </w:hyperlink>
        </w:p>
        <w:p w:rsidR="006C4A9B" w:rsidRDefault="00106C88">
          <w:pPr>
            <w:pStyle w:val="TOC2"/>
            <w:tabs>
              <w:tab w:val="right" w:leader="dot" w:pos="9062"/>
            </w:tabs>
            <w:rPr>
              <w:rFonts w:asciiTheme="minorHAnsi" w:eastAsiaTheme="minorEastAsia" w:hAnsiTheme="minorHAnsi" w:cstheme="minorBidi"/>
              <w:noProof/>
              <w:lang w:val="en-US"/>
            </w:rPr>
          </w:pPr>
          <w:hyperlink w:anchor="_Toc209047149" w:history="1">
            <w:r w:rsidR="006C4A9B" w:rsidRPr="007179FC">
              <w:rPr>
                <w:rStyle w:val="Hyperlink"/>
                <w:rFonts w:ascii="Rockwell" w:eastAsia="Times New Roman" w:hAnsi="Rockwell" w:cs="Times New Roman"/>
                <w:b/>
                <w:noProof/>
              </w:rPr>
              <w:t>4.2.3 Application of the Computing Methodologies</w:t>
            </w:r>
            <w:r w:rsidR="006C4A9B">
              <w:rPr>
                <w:noProof/>
                <w:webHidden/>
              </w:rPr>
              <w:tab/>
            </w:r>
            <w:r w:rsidR="006C4A9B">
              <w:rPr>
                <w:noProof/>
                <w:webHidden/>
              </w:rPr>
              <w:fldChar w:fldCharType="begin"/>
            </w:r>
            <w:r w:rsidR="006C4A9B">
              <w:rPr>
                <w:noProof/>
                <w:webHidden/>
              </w:rPr>
              <w:instrText xml:space="preserve"> PAGEREF _Toc209047149 \h </w:instrText>
            </w:r>
            <w:r w:rsidR="006C4A9B">
              <w:rPr>
                <w:noProof/>
                <w:webHidden/>
              </w:rPr>
            </w:r>
            <w:r w:rsidR="006C4A9B">
              <w:rPr>
                <w:noProof/>
                <w:webHidden/>
              </w:rPr>
              <w:fldChar w:fldCharType="separate"/>
            </w:r>
            <w:r w:rsidR="006C4A9B">
              <w:rPr>
                <w:noProof/>
                <w:webHidden/>
              </w:rPr>
              <w:t>49</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50" w:history="1">
            <w:r w:rsidR="006C4A9B" w:rsidRPr="007179FC">
              <w:rPr>
                <w:rStyle w:val="Hyperlink"/>
                <w:rFonts w:ascii="Rockwell" w:eastAsia="Times New Roman" w:hAnsi="Rockwell" w:cs="Times New Roman"/>
                <w:b/>
                <w:noProof/>
              </w:rPr>
              <w:t>4.2.3.1 Case-by-Case Costing</w:t>
            </w:r>
            <w:r w:rsidR="006C4A9B">
              <w:rPr>
                <w:noProof/>
                <w:webHidden/>
              </w:rPr>
              <w:tab/>
            </w:r>
            <w:r w:rsidR="006C4A9B">
              <w:rPr>
                <w:noProof/>
                <w:webHidden/>
              </w:rPr>
              <w:fldChar w:fldCharType="begin"/>
            </w:r>
            <w:r w:rsidR="006C4A9B">
              <w:rPr>
                <w:noProof/>
                <w:webHidden/>
              </w:rPr>
              <w:instrText xml:space="preserve"> PAGEREF _Toc209047150 \h </w:instrText>
            </w:r>
            <w:r w:rsidR="006C4A9B">
              <w:rPr>
                <w:noProof/>
                <w:webHidden/>
              </w:rPr>
            </w:r>
            <w:r w:rsidR="006C4A9B">
              <w:rPr>
                <w:noProof/>
                <w:webHidden/>
              </w:rPr>
              <w:fldChar w:fldCharType="separate"/>
            </w:r>
            <w:r w:rsidR="006C4A9B">
              <w:rPr>
                <w:noProof/>
                <w:webHidden/>
              </w:rPr>
              <w:t>49</w:t>
            </w:r>
            <w:r w:rsidR="006C4A9B">
              <w:rPr>
                <w:noProof/>
                <w:webHidden/>
              </w:rPr>
              <w:fldChar w:fldCharType="end"/>
            </w:r>
          </w:hyperlink>
        </w:p>
        <w:p w:rsidR="006C4A9B" w:rsidRDefault="00106C88">
          <w:pPr>
            <w:pStyle w:val="TOC3"/>
            <w:tabs>
              <w:tab w:val="right" w:leader="dot" w:pos="9062"/>
            </w:tabs>
            <w:rPr>
              <w:rFonts w:asciiTheme="minorHAnsi" w:eastAsiaTheme="minorEastAsia" w:hAnsiTheme="minorHAnsi" w:cstheme="minorBidi"/>
              <w:noProof/>
              <w:lang w:val="en-US"/>
            </w:rPr>
          </w:pPr>
          <w:hyperlink w:anchor="_Toc209047151" w:history="1">
            <w:r w:rsidR="006C4A9B" w:rsidRPr="007179FC">
              <w:rPr>
                <w:rStyle w:val="Hyperlink"/>
                <w:rFonts w:ascii="Rockwell" w:eastAsia="Times New Roman" w:hAnsi="Rockwell" w:cs="Times New Roman"/>
                <w:b/>
                <w:noProof/>
              </w:rPr>
              <w:t>4.2.3.2 Predetermined Unit Costs</w:t>
            </w:r>
            <w:r w:rsidR="006C4A9B">
              <w:rPr>
                <w:noProof/>
                <w:webHidden/>
              </w:rPr>
              <w:tab/>
            </w:r>
            <w:r w:rsidR="006C4A9B">
              <w:rPr>
                <w:noProof/>
                <w:webHidden/>
              </w:rPr>
              <w:fldChar w:fldCharType="begin"/>
            </w:r>
            <w:r w:rsidR="006C4A9B">
              <w:rPr>
                <w:noProof/>
                <w:webHidden/>
              </w:rPr>
              <w:instrText xml:space="preserve"> PAGEREF _Toc209047151 \h </w:instrText>
            </w:r>
            <w:r w:rsidR="006C4A9B">
              <w:rPr>
                <w:noProof/>
                <w:webHidden/>
              </w:rPr>
            </w:r>
            <w:r w:rsidR="006C4A9B">
              <w:rPr>
                <w:noProof/>
                <w:webHidden/>
              </w:rPr>
              <w:fldChar w:fldCharType="separate"/>
            </w:r>
            <w:r w:rsidR="006C4A9B">
              <w:rPr>
                <w:noProof/>
                <w:webHidden/>
              </w:rPr>
              <w:t>50</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52" w:history="1">
            <w:r w:rsidR="006C4A9B" w:rsidRPr="007179FC">
              <w:rPr>
                <w:rStyle w:val="Hyperlink"/>
                <w:rFonts w:ascii="Rockwell" w:eastAsia="Times New Roman" w:hAnsi="Rockwell" w:cs="Times New Roman"/>
                <w:b/>
                <w:noProof/>
              </w:rPr>
              <w:t>4.3 Addressing uncertainties</w:t>
            </w:r>
            <w:r w:rsidR="006C4A9B">
              <w:rPr>
                <w:noProof/>
                <w:webHidden/>
              </w:rPr>
              <w:tab/>
            </w:r>
            <w:r w:rsidR="006C4A9B">
              <w:rPr>
                <w:noProof/>
                <w:webHidden/>
              </w:rPr>
              <w:fldChar w:fldCharType="begin"/>
            </w:r>
            <w:r w:rsidR="006C4A9B">
              <w:rPr>
                <w:noProof/>
                <w:webHidden/>
              </w:rPr>
              <w:instrText xml:space="preserve"> PAGEREF _Toc209047152 \h </w:instrText>
            </w:r>
            <w:r w:rsidR="006C4A9B">
              <w:rPr>
                <w:noProof/>
                <w:webHidden/>
              </w:rPr>
            </w:r>
            <w:r w:rsidR="006C4A9B">
              <w:rPr>
                <w:noProof/>
                <w:webHidden/>
              </w:rPr>
              <w:fldChar w:fldCharType="separate"/>
            </w:r>
            <w:r w:rsidR="006C4A9B">
              <w:rPr>
                <w:noProof/>
                <w:webHidden/>
              </w:rPr>
              <w:t>51</w:t>
            </w:r>
            <w:r w:rsidR="006C4A9B">
              <w:rPr>
                <w:noProof/>
                <w:webHidden/>
              </w:rPr>
              <w:fldChar w:fldCharType="end"/>
            </w:r>
          </w:hyperlink>
        </w:p>
        <w:p w:rsidR="006C4A9B" w:rsidRDefault="00106C88">
          <w:pPr>
            <w:pStyle w:val="TOC2"/>
            <w:tabs>
              <w:tab w:val="right" w:leader="dot" w:pos="9062"/>
            </w:tabs>
            <w:rPr>
              <w:rFonts w:asciiTheme="minorHAnsi" w:eastAsiaTheme="minorEastAsia" w:hAnsiTheme="minorHAnsi" w:cstheme="minorBidi"/>
              <w:noProof/>
              <w:lang w:val="en-US"/>
            </w:rPr>
          </w:pPr>
          <w:hyperlink w:anchor="_Toc209047153" w:history="1">
            <w:r w:rsidR="006C4A9B" w:rsidRPr="007179FC">
              <w:rPr>
                <w:rStyle w:val="Hyperlink"/>
                <w:rFonts w:ascii="Rockwell" w:eastAsia="Times New Roman" w:hAnsi="Rockwell" w:cs="Times New Roman"/>
                <w:b/>
                <w:noProof/>
              </w:rPr>
              <w:t>4.3.1 Type/nature/extent of activities</w:t>
            </w:r>
            <w:r w:rsidR="006C4A9B">
              <w:rPr>
                <w:noProof/>
                <w:webHidden/>
              </w:rPr>
              <w:tab/>
            </w:r>
            <w:r w:rsidR="006C4A9B">
              <w:rPr>
                <w:noProof/>
                <w:webHidden/>
              </w:rPr>
              <w:fldChar w:fldCharType="begin"/>
            </w:r>
            <w:r w:rsidR="006C4A9B">
              <w:rPr>
                <w:noProof/>
                <w:webHidden/>
              </w:rPr>
              <w:instrText xml:space="preserve"> PAGEREF _Toc209047153 \h </w:instrText>
            </w:r>
            <w:r w:rsidR="006C4A9B">
              <w:rPr>
                <w:noProof/>
                <w:webHidden/>
              </w:rPr>
            </w:r>
            <w:r w:rsidR="006C4A9B">
              <w:rPr>
                <w:noProof/>
                <w:webHidden/>
              </w:rPr>
              <w:fldChar w:fldCharType="separate"/>
            </w:r>
            <w:r w:rsidR="006C4A9B">
              <w:rPr>
                <w:noProof/>
                <w:webHidden/>
              </w:rPr>
              <w:t>51</w:t>
            </w:r>
            <w:r w:rsidR="006C4A9B">
              <w:rPr>
                <w:noProof/>
                <w:webHidden/>
              </w:rPr>
              <w:fldChar w:fldCharType="end"/>
            </w:r>
          </w:hyperlink>
        </w:p>
        <w:p w:rsidR="006C4A9B" w:rsidRDefault="00106C88">
          <w:pPr>
            <w:pStyle w:val="TOC2"/>
            <w:tabs>
              <w:tab w:val="right" w:leader="dot" w:pos="9062"/>
            </w:tabs>
            <w:rPr>
              <w:rFonts w:asciiTheme="minorHAnsi" w:eastAsiaTheme="minorEastAsia" w:hAnsiTheme="minorHAnsi" w:cstheme="minorBidi"/>
              <w:noProof/>
              <w:lang w:val="en-US"/>
            </w:rPr>
          </w:pPr>
          <w:hyperlink w:anchor="_Toc209047154" w:history="1">
            <w:r w:rsidR="006C4A9B" w:rsidRPr="007179FC">
              <w:rPr>
                <w:rStyle w:val="Hyperlink"/>
                <w:rFonts w:ascii="Rockwell" w:eastAsia="Times New Roman" w:hAnsi="Rockwell" w:cs="Times New Roman"/>
                <w:b/>
                <w:noProof/>
              </w:rPr>
              <w:t>4.3.2 Lack of data on contaminated sites/locations</w:t>
            </w:r>
            <w:r w:rsidR="006C4A9B">
              <w:rPr>
                <w:noProof/>
                <w:webHidden/>
              </w:rPr>
              <w:tab/>
            </w:r>
            <w:r w:rsidR="006C4A9B">
              <w:rPr>
                <w:noProof/>
                <w:webHidden/>
              </w:rPr>
              <w:fldChar w:fldCharType="begin"/>
            </w:r>
            <w:r w:rsidR="006C4A9B">
              <w:rPr>
                <w:noProof/>
                <w:webHidden/>
              </w:rPr>
              <w:instrText xml:space="preserve"> PAGEREF _Toc209047154 \h </w:instrText>
            </w:r>
            <w:r w:rsidR="006C4A9B">
              <w:rPr>
                <w:noProof/>
                <w:webHidden/>
              </w:rPr>
            </w:r>
            <w:r w:rsidR="006C4A9B">
              <w:rPr>
                <w:noProof/>
                <w:webHidden/>
              </w:rPr>
              <w:fldChar w:fldCharType="separate"/>
            </w:r>
            <w:r w:rsidR="006C4A9B">
              <w:rPr>
                <w:noProof/>
                <w:webHidden/>
              </w:rPr>
              <w:t>51</w:t>
            </w:r>
            <w:r w:rsidR="006C4A9B">
              <w:rPr>
                <w:noProof/>
                <w:webHidden/>
              </w:rPr>
              <w:fldChar w:fldCharType="end"/>
            </w:r>
          </w:hyperlink>
        </w:p>
        <w:p w:rsidR="006C4A9B" w:rsidRDefault="00106C88">
          <w:pPr>
            <w:pStyle w:val="TOC2"/>
            <w:tabs>
              <w:tab w:val="right" w:leader="dot" w:pos="9062"/>
            </w:tabs>
            <w:rPr>
              <w:rFonts w:asciiTheme="minorHAnsi" w:eastAsiaTheme="minorEastAsia" w:hAnsiTheme="minorHAnsi" w:cstheme="minorBidi"/>
              <w:noProof/>
              <w:lang w:val="en-US"/>
            </w:rPr>
          </w:pPr>
          <w:hyperlink w:anchor="_Toc209047155" w:history="1">
            <w:r w:rsidR="006C4A9B" w:rsidRPr="007179FC">
              <w:rPr>
                <w:rStyle w:val="Hyperlink"/>
                <w:rFonts w:ascii="Rockwell" w:eastAsia="Times New Roman" w:hAnsi="Rockwell" w:cs="Times New Roman"/>
                <w:b/>
                <w:noProof/>
              </w:rPr>
              <w:t>4.3.3 Abandonment by mineral right holder/owners</w:t>
            </w:r>
            <w:r w:rsidR="006C4A9B">
              <w:rPr>
                <w:noProof/>
                <w:webHidden/>
              </w:rPr>
              <w:tab/>
            </w:r>
            <w:r w:rsidR="006C4A9B">
              <w:rPr>
                <w:noProof/>
                <w:webHidden/>
              </w:rPr>
              <w:fldChar w:fldCharType="begin"/>
            </w:r>
            <w:r w:rsidR="006C4A9B">
              <w:rPr>
                <w:noProof/>
                <w:webHidden/>
              </w:rPr>
              <w:instrText xml:space="preserve"> PAGEREF _Toc209047155 \h </w:instrText>
            </w:r>
            <w:r w:rsidR="006C4A9B">
              <w:rPr>
                <w:noProof/>
                <w:webHidden/>
              </w:rPr>
            </w:r>
            <w:r w:rsidR="006C4A9B">
              <w:rPr>
                <w:noProof/>
                <w:webHidden/>
              </w:rPr>
              <w:fldChar w:fldCharType="separate"/>
            </w:r>
            <w:r w:rsidR="006C4A9B">
              <w:rPr>
                <w:noProof/>
                <w:webHidden/>
              </w:rPr>
              <w:t>52</w:t>
            </w:r>
            <w:r w:rsidR="006C4A9B">
              <w:rPr>
                <w:noProof/>
                <w:webHidden/>
              </w:rPr>
              <w:fldChar w:fldCharType="end"/>
            </w:r>
          </w:hyperlink>
        </w:p>
        <w:p w:rsidR="006C4A9B" w:rsidRDefault="00106C88">
          <w:pPr>
            <w:pStyle w:val="TOC2"/>
            <w:tabs>
              <w:tab w:val="right" w:leader="dot" w:pos="9062"/>
            </w:tabs>
            <w:rPr>
              <w:rFonts w:asciiTheme="minorHAnsi" w:eastAsiaTheme="minorEastAsia" w:hAnsiTheme="minorHAnsi" w:cstheme="minorBidi"/>
              <w:noProof/>
              <w:lang w:val="en-US"/>
            </w:rPr>
          </w:pPr>
          <w:hyperlink w:anchor="_Toc209047156" w:history="1">
            <w:r w:rsidR="006C4A9B" w:rsidRPr="007179FC">
              <w:rPr>
                <w:rStyle w:val="Hyperlink"/>
                <w:rFonts w:ascii="Rockwell" w:eastAsia="Times New Roman" w:hAnsi="Rockwell" w:cs="Times New Roman"/>
                <w:b/>
                <w:noProof/>
              </w:rPr>
              <w:t>4.3.4 Public perception/Stakeholder perception</w:t>
            </w:r>
            <w:r w:rsidR="006C4A9B">
              <w:rPr>
                <w:noProof/>
                <w:webHidden/>
              </w:rPr>
              <w:tab/>
            </w:r>
            <w:r w:rsidR="006C4A9B">
              <w:rPr>
                <w:noProof/>
                <w:webHidden/>
              </w:rPr>
              <w:fldChar w:fldCharType="begin"/>
            </w:r>
            <w:r w:rsidR="006C4A9B">
              <w:rPr>
                <w:noProof/>
                <w:webHidden/>
              </w:rPr>
              <w:instrText xml:space="preserve"> PAGEREF _Toc209047156 \h </w:instrText>
            </w:r>
            <w:r w:rsidR="006C4A9B">
              <w:rPr>
                <w:noProof/>
                <w:webHidden/>
              </w:rPr>
            </w:r>
            <w:r w:rsidR="006C4A9B">
              <w:rPr>
                <w:noProof/>
                <w:webHidden/>
              </w:rPr>
              <w:fldChar w:fldCharType="separate"/>
            </w:r>
            <w:r w:rsidR="006C4A9B">
              <w:rPr>
                <w:noProof/>
                <w:webHidden/>
              </w:rPr>
              <w:t>52</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57" w:history="1">
            <w:r w:rsidR="006C4A9B" w:rsidRPr="007179FC">
              <w:rPr>
                <w:rStyle w:val="Hyperlink"/>
                <w:rFonts w:ascii="Rockwell" w:eastAsia="Times New Roman" w:hAnsi="Rockwell" w:cs="Times New Roman"/>
                <w:b/>
                <w:noProof/>
              </w:rPr>
              <w:t>5. References</w:t>
            </w:r>
            <w:r w:rsidR="006C4A9B">
              <w:rPr>
                <w:noProof/>
                <w:webHidden/>
              </w:rPr>
              <w:tab/>
            </w:r>
            <w:r w:rsidR="006C4A9B">
              <w:rPr>
                <w:noProof/>
                <w:webHidden/>
              </w:rPr>
              <w:fldChar w:fldCharType="begin"/>
            </w:r>
            <w:r w:rsidR="006C4A9B">
              <w:rPr>
                <w:noProof/>
                <w:webHidden/>
              </w:rPr>
              <w:instrText xml:space="preserve"> PAGEREF _Toc209047157 \h </w:instrText>
            </w:r>
            <w:r w:rsidR="006C4A9B">
              <w:rPr>
                <w:noProof/>
                <w:webHidden/>
              </w:rPr>
            </w:r>
            <w:r w:rsidR="006C4A9B">
              <w:rPr>
                <w:noProof/>
                <w:webHidden/>
              </w:rPr>
              <w:fldChar w:fldCharType="separate"/>
            </w:r>
            <w:r w:rsidR="006C4A9B">
              <w:rPr>
                <w:noProof/>
                <w:webHidden/>
              </w:rPr>
              <w:t>52</w:t>
            </w:r>
            <w:r w:rsidR="006C4A9B">
              <w:rPr>
                <w:noProof/>
                <w:webHidden/>
              </w:rPr>
              <w:fldChar w:fldCharType="end"/>
            </w:r>
          </w:hyperlink>
        </w:p>
        <w:p w:rsidR="006C4A9B" w:rsidRDefault="00106C88">
          <w:pPr>
            <w:pStyle w:val="TOC1"/>
            <w:tabs>
              <w:tab w:val="right" w:leader="dot" w:pos="9062"/>
            </w:tabs>
            <w:rPr>
              <w:rFonts w:asciiTheme="minorHAnsi" w:eastAsiaTheme="minorEastAsia" w:hAnsiTheme="minorHAnsi" w:cstheme="minorBidi"/>
              <w:noProof/>
              <w:lang w:val="en-US"/>
            </w:rPr>
          </w:pPr>
          <w:hyperlink w:anchor="_Toc209047158" w:history="1">
            <w:r w:rsidR="006C4A9B" w:rsidRPr="007179FC">
              <w:rPr>
                <w:rStyle w:val="Hyperlink"/>
                <w:rFonts w:ascii="Rockwell" w:eastAsia="Rockwell" w:hAnsi="Rockwell" w:cs="Rockwell"/>
                <w:b/>
                <w:noProof/>
              </w:rPr>
              <w:t>6. Appendices</w:t>
            </w:r>
            <w:r w:rsidR="006C4A9B">
              <w:rPr>
                <w:noProof/>
                <w:webHidden/>
              </w:rPr>
              <w:tab/>
            </w:r>
            <w:r w:rsidR="006C4A9B">
              <w:rPr>
                <w:noProof/>
                <w:webHidden/>
              </w:rPr>
              <w:fldChar w:fldCharType="begin"/>
            </w:r>
            <w:r w:rsidR="006C4A9B">
              <w:rPr>
                <w:noProof/>
                <w:webHidden/>
              </w:rPr>
              <w:instrText xml:space="preserve"> PAGEREF _Toc209047158 \h </w:instrText>
            </w:r>
            <w:r w:rsidR="006C4A9B">
              <w:rPr>
                <w:noProof/>
                <w:webHidden/>
              </w:rPr>
            </w:r>
            <w:r w:rsidR="006C4A9B">
              <w:rPr>
                <w:noProof/>
                <w:webHidden/>
              </w:rPr>
              <w:fldChar w:fldCharType="separate"/>
            </w:r>
            <w:r w:rsidR="006C4A9B">
              <w:rPr>
                <w:noProof/>
                <w:webHidden/>
              </w:rPr>
              <w:t>54</w:t>
            </w:r>
            <w:r w:rsidR="006C4A9B">
              <w:rPr>
                <w:noProof/>
                <w:webHidden/>
              </w:rPr>
              <w:fldChar w:fldCharType="end"/>
            </w:r>
          </w:hyperlink>
        </w:p>
        <w:p w:rsidR="006C4A9B" w:rsidRDefault="00106C88">
          <w:pPr>
            <w:pStyle w:val="TOC2"/>
            <w:tabs>
              <w:tab w:val="right" w:leader="dot" w:pos="9062"/>
            </w:tabs>
            <w:rPr>
              <w:rFonts w:asciiTheme="minorHAnsi" w:eastAsiaTheme="minorEastAsia" w:hAnsiTheme="minorHAnsi" w:cstheme="minorBidi"/>
              <w:noProof/>
              <w:lang w:val="en-US"/>
            </w:rPr>
          </w:pPr>
          <w:hyperlink w:anchor="_Toc209047159" w:history="1">
            <w:r w:rsidR="006C4A9B" w:rsidRPr="007179FC">
              <w:rPr>
                <w:rStyle w:val="Hyperlink"/>
                <w:rFonts w:ascii="Rockwell" w:eastAsia="Rockwell" w:hAnsi="Rockwell" w:cs="Rockwell"/>
                <w:b/>
                <w:noProof/>
              </w:rPr>
              <w:t>Appendix 1:  Proforma: self-assessment remediation liability - small mines</w:t>
            </w:r>
            <w:r w:rsidR="006C4A9B">
              <w:rPr>
                <w:noProof/>
                <w:webHidden/>
              </w:rPr>
              <w:tab/>
            </w:r>
            <w:r w:rsidR="006C4A9B">
              <w:rPr>
                <w:noProof/>
                <w:webHidden/>
              </w:rPr>
              <w:fldChar w:fldCharType="begin"/>
            </w:r>
            <w:r w:rsidR="006C4A9B">
              <w:rPr>
                <w:noProof/>
                <w:webHidden/>
              </w:rPr>
              <w:instrText xml:space="preserve"> PAGEREF _Toc209047159 \h </w:instrText>
            </w:r>
            <w:r w:rsidR="006C4A9B">
              <w:rPr>
                <w:noProof/>
                <w:webHidden/>
              </w:rPr>
            </w:r>
            <w:r w:rsidR="006C4A9B">
              <w:rPr>
                <w:noProof/>
                <w:webHidden/>
              </w:rPr>
              <w:fldChar w:fldCharType="separate"/>
            </w:r>
            <w:r w:rsidR="006C4A9B">
              <w:rPr>
                <w:noProof/>
                <w:webHidden/>
              </w:rPr>
              <w:t>54</w:t>
            </w:r>
            <w:r w:rsidR="006C4A9B">
              <w:rPr>
                <w:noProof/>
                <w:webHidden/>
              </w:rPr>
              <w:fldChar w:fldCharType="end"/>
            </w:r>
          </w:hyperlink>
        </w:p>
        <w:p w:rsidR="006C4A9B" w:rsidRDefault="00106C88">
          <w:pPr>
            <w:pStyle w:val="TOC2"/>
            <w:tabs>
              <w:tab w:val="right" w:leader="dot" w:pos="9062"/>
            </w:tabs>
            <w:rPr>
              <w:rFonts w:asciiTheme="minorHAnsi" w:eastAsiaTheme="minorEastAsia" w:hAnsiTheme="minorHAnsi" w:cstheme="minorBidi"/>
              <w:noProof/>
              <w:lang w:val="en-US"/>
            </w:rPr>
          </w:pPr>
          <w:hyperlink w:anchor="_Toc209047160" w:history="1">
            <w:r w:rsidR="006C4A9B" w:rsidRPr="007179FC">
              <w:rPr>
                <w:rStyle w:val="Hyperlink"/>
                <w:rFonts w:ascii="Rockwell" w:eastAsia="Rockwell" w:hAnsi="Rockwell" w:cs="Rockwell"/>
                <w:b/>
                <w:noProof/>
              </w:rPr>
              <w:t>Appendix 2: Licensee Declaration Form (Form 1)</w:t>
            </w:r>
            <w:r w:rsidR="006C4A9B">
              <w:rPr>
                <w:noProof/>
                <w:webHidden/>
              </w:rPr>
              <w:tab/>
            </w:r>
            <w:r w:rsidR="006C4A9B">
              <w:rPr>
                <w:noProof/>
                <w:webHidden/>
              </w:rPr>
              <w:fldChar w:fldCharType="begin"/>
            </w:r>
            <w:r w:rsidR="006C4A9B">
              <w:rPr>
                <w:noProof/>
                <w:webHidden/>
              </w:rPr>
              <w:instrText xml:space="preserve"> PAGEREF _Toc209047160 \h </w:instrText>
            </w:r>
            <w:r w:rsidR="006C4A9B">
              <w:rPr>
                <w:noProof/>
                <w:webHidden/>
              </w:rPr>
            </w:r>
            <w:r w:rsidR="006C4A9B">
              <w:rPr>
                <w:noProof/>
                <w:webHidden/>
              </w:rPr>
              <w:fldChar w:fldCharType="separate"/>
            </w:r>
            <w:r w:rsidR="006C4A9B">
              <w:rPr>
                <w:noProof/>
                <w:webHidden/>
              </w:rPr>
              <w:t>54</w:t>
            </w:r>
            <w:r w:rsidR="006C4A9B">
              <w:rPr>
                <w:noProof/>
                <w:webHidden/>
              </w:rPr>
              <w:fldChar w:fldCharType="end"/>
            </w:r>
          </w:hyperlink>
        </w:p>
        <w:p w:rsidR="006C4A9B" w:rsidRDefault="00106C88">
          <w:pPr>
            <w:pStyle w:val="TOC2"/>
            <w:tabs>
              <w:tab w:val="right" w:leader="dot" w:pos="9062"/>
            </w:tabs>
            <w:rPr>
              <w:rFonts w:asciiTheme="minorHAnsi" w:eastAsiaTheme="minorEastAsia" w:hAnsiTheme="minorHAnsi" w:cstheme="minorBidi"/>
              <w:noProof/>
              <w:lang w:val="en-US"/>
            </w:rPr>
          </w:pPr>
          <w:hyperlink w:anchor="_Toc209047161" w:history="1">
            <w:r w:rsidR="006C4A9B" w:rsidRPr="007179FC">
              <w:rPr>
                <w:rStyle w:val="Hyperlink"/>
                <w:rFonts w:ascii="Rockwell" w:eastAsia="Rockwell" w:hAnsi="Rockwell" w:cs="Rockwell"/>
                <w:b/>
                <w:noProof/>
              </w:rPr>
              <w:t>Appendix 3:</w:t>
            </w:r>
            <w:r w:rsidR="006C4A9B" w:rsidRPr="007179FC">
              <w:rPr>
                <w:rStyle w:val="Hyperlink"/>
                <w:rFonts w:ascii="Rockwell" w:eastAsia="Rockwell" w:hAnsi="Rockwell" w:cs="Rockwell"/>
                <w:noProof/>
              </w:rPr>
              <w:t xml:space="preserve"> </w:t>
            </w:r>
            <w:r w:rsidR="006C4A9B" w:rsidRPr="007179FC">
              <w:rPr>
                <w:rStyle w:val="Hyperlink"/>
                <w:rFonts w:ascii="Rockwell" w:eastAsia="Rockwell" w:hAnsi="Rockwell" w:cs="Rockwell"/>
                <w:b/>
                <w:noProof/>
              </w:rPr>
              <w:t>Some of the key Environmental and Social impact or considerations associated with the mining cycle in Kenya</w:t>
            </w:r>
            <w:r w:rsidR="006C4A9B" w:rsidRPr="007179FC">
              <w:rPr>
                <w:rStyle w:val="Hyperlink"/>
                <w:rFonts w:ascii="Rockwell" w:eastAsia="Rockwell" w:hAnsi="Rockwell" w:cs="Rockwell"/>
                <w:noProof/>
              </w:rPr>
              <w:t>.</w:t>
            </w:r>
            <w:r w:rsidR="006C4A9B">
              <w:rPr>
                <w:noProof/>
                <w:webHidden/>
              </w:rPr>
              <w:tab/>
            </w:r>
            <w:r w:rsidR="006C4A9B">
              <w:rPr>
                <w:noProof/>
                <w:webHidden/>
              </w:rPr>
              <w:fldChar w:fldCharType="begin"/>
            </w:r>
            <w:r w:rsidR="006C4A9B">
              <w:rPr>
                <w:noProof/>
                <w:webHidden/>
              </w:rPr>
              <w:instrText xml:space="preserve"> PAGEREF _Toc209047161 \h </w:instrText>
            </w:r>
            <w:r w:rsidR="006C4A9B">
              <w:rPr>
                <w:noProof/>
                <w:webHidden/>
              </w:rPr>
            </w:r>
            <w:r w:rsidR="006C4A9B">
              <w:rPr>
                <w:noProof/>
                <w:webHidden/>
              </w:rPr>
              <w:fldChar w:fldCharType="separate"/>
            </w:r>
            <w:r w:rsidR="006C4A9B">
              <w:rPr>
                <w:noProof/>
                <w:webHidden/>
              </w:rPr>
              <w:t>55</w:t>
            </w:r>
            <w:r w:rsidR="006C4A9B">
              <w:rPr>
                <w:noProof/>
                <w:webHidden/>
              </w:rPr>
              <w:fldChar w:fldCharType="end"/>
            </w:r>
          </w:hyperlink>
        </w:p>
        <w:p w:rsidR="006C4A9B" w:rsidRDefault="00106C88">
          <w:pPr>
            <w:pStyle w:val="TOC2"/>
            <w:tabs>
              <w:tab w:val="right" w:leader="dot" w:pos="9062"/>
            </w:tabs>
            <w:rPr>
              <w:rFonts w:asciiTheme="minorHAnsi" w:eastAsiaTheme="minorEastAsia" w:hAnsiTheme="minorHAnsi" w:cstheme="minorBidi"/>
              <w:noProof/>
              <w:lang w:val="en-US"/>
            </w:rPr>
          </w:pPr>
          <w:hyperlink w:anchor="_Toc209047162" w:history="1">
            <w:r w:rsidR="006C4A9B" w:rsidRPr="007179FC">
              <w:rPr>
                <w:rStyle w:val="Hyperlink"/>
                <w:rFonts w:ascii="Rockwell" w:eastAsia="Rockwell" w:hAnsi="Rockwell" w:cs="Rockwell"/>
                <w:b/>
                <w:noProof/>
              </w:rPr>
              <w:t>Appendix 4: Summary of Remediation Management Plan for the mining operations</w:t>
            </w:r>
            <w:r w:rsidR="006C4A9B">
              <w:rPr>
                <w:noProof/>
                <w:webHidden/>
              </w:rPr>
              <w:tab/>
            </w:r>
            <w:r w:rsidR="006C4A9B">
              <w:rPr>
                <w:noProof/>
                <w:webHidden/>
              </w:rPr>
              <w:fldChar w:fldCharType="begin"/>
            </w:r>
            <w:r w:rsidR="006C4A9B">
              <w:rPr>
                <w:noProof/>
                <w:webHidden/>
              </w:rPr>
              <w:instrText xml:space="preserve"> PAGEREF _Toc209047162 \h </w:instrText>
            </w:r>
            <w:r w:rsidR="006C4A9B">
              <w:rPr>
                <w:noProof/>
                <w:webHidden/>
              </w:rPr>
            </w:r>
            <w:r w:rsidR="006C4A9B">
              <w:rPr>
                <w:noProof/>
                <w:webHidden/>
              </w:rPr>
              <w:fldChar w:fldCharType="separate"/>
            </w:r>
            <w:r w:rsidR="006C4A9B">
              <w:rPr>
                <w:noProof/>
                <w:webHidden/>
              </w:rPr>
              <w:t>56</w:t>
            </w:r>
            <w:r w:rsidR="006C4A9B">
              <w:rPr>
                <w:noProof/>
                <w:webHidden/>
              </w:rPr>
              <w:fldChar w:fldCharType="end"/>
            </w:r>
          </w:hyperlink>
        </w:p>
        <w:p w:rsidR="0056182D" w:rsidRPr="004A76D7" w:rsidRDefault="0056182D" w:rsidP="000E7DFC">
          <w:pPr>
            <w:jc w:val="both"/>
            <w:rPr>
              <w:rFonts w:ascii="Rockwell" w:hAnsi="Rockwell"/>
              <w:sz w:val="24"/>
              <w:szCs w:val="24"/>
            </w:rPr>
          </w:pPr>
          <w:r w:rsidRPr="004A76D7">
            <w:rPr>
              <w:rFonts w:ascii="Rockwell" w:hAnsi="Rockwell"/>
              <w:bCs/>
              <w:noProof/>
              <w:sz w:val="24"/>
              <w:szCs w:val="24"/>
            </w:rPr>
            <w:fldChar w:fldCharType="end"/>
          </w:r>
        </w:p>
      </w:sdtContent>
    </w:sdt>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EC7926" w:rsidRDefault="00EC7926" w:rsidP="000E7DFC">
      <w:pPr>
        <w:spacing w:before="240" w:after="160"/>
        <w:jc w:val="both"/>
        <w:rPr>
          <w:rFonts w:ascii="Rockwell" w:eastAsia="Times New Roman" w:hAnsi="Rockwell" w:cs="Times New Roman"/>
          <w:b/>
          <w:sz w:val="24"/>
          <w:szCs w:val="24"/>
        </w:rPr>
      </w:pPr>
    </w:p>
    <w:p w:rsidR="00325A9B" w:rsidRDefault="00325A9B" w:rsidP="000E7DFC">
      <w:pPr>
        <w:spacing w:before="240" w:after="160"/>
        <w:jc w:val="both"/>
        <w:rPr>
          <w:rFonts w:ascii="Rockwell" w:eastAsia="Times New Roman" w:hAnsi="Rockwell" w:cs="Times New Roman"/>
          <w:b/>
          <w:sz w:val="24"/>
          <w:szCs w:val="24"/>
        </w:rPr>
      </w:pPr>
    </w:p>
    <w:p w:rsidR="006822F2" w:rsidRPr="004A76D7" w:rsidRDefault="008E29E3" w:rsidP="000E7DFC">
      <w:pPr>
        <w:spacing w:before="240" w:after="160"/>
        <w:jc w:val="both"/>
        <w:rPr>
          <w:rFonts w:ascii="Rockwell" w:eastAsia="Times New Roman" w:hAnsi="Rockwell" w:cs="Times New Roman"/>
          <w:b/>
          <w:sz w:val="24"/>
          <w:szCs w:val="24"/>
        </w:rPr>
      </w:pPr>
      <w:r w:rsidRPr="004A76D7">
        <w:rPr>
          <w:rFonts w:ascii="Rockwell" w:eastAsia="Times New Roman" w:hAnsi="Rockwell" w:cs="Times New Roman"/>
          <w:b/>
          <w:sz w:val="24"/>
          <w:szCs w:val="24"/>
        </w:rPr>
        <w:t>LIST OF ACRONYMS AND ABBREVIATIONS</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ASM           </w:t>
      </w:r>
      <w:r w:rsidRPr="004A76D7">
        <w:rPr>
          <w:rFonts w:ascii="Rockwell" w:eastAsia="Times New Roman" w:hAnsi="Rockwell" w:cs="Times New Roman"/>
          <w:sz w:val="24"/>
          <w:szCs w:val="24"/>
        </w:rPr>
        <w:tab/>
        <w:t xml:space="preserve">-    </w:t>
      </w:r>
      <w:r w:rsidRPr="004A76D7">
        <w:rPr>
          <w:rFonts w:ascii="Rockwell" w:eastAsia="Times New Roman" w:hAnsi="Rockwell" w:cs="Times New Roman"/>
          <w:sz w:val="24"/>
          <w:szCs w:val="24"/>
        </w:rPr>
        <w:tab/>
        <w:t>Artisanal and Small Scale Mining</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CSO </w:t>
      </w:r>
      <w:r w:rsidRPr="004A76D7">
        <w:rPr>
          <w:rFonts w:ascii="Rockwell" w:eastAsia="Times New Roman" w:hAnsi="Rockwell" w:cs="Times New Roman"/>
          <w:sz w:val="24"/>
          <w:szCs w:val="24"/>
        </w:rPr>
        <w:tab/>
      </w:r>
      <w:r w:rsidRPr="004A76D7">
        <w:rPr>
          <w:rFonts w:ascii="Rockwell" w:eastAsia="Times New Roman" w:hAnsi="Rockwell" w:cs="Times New Roman"/>
          <w:sz w:val="24"/>
          <w:szCs w:val="24"/>
        </w:rPr>
        <w:tab/>
        <w:t>-</w:t>
      </w:r>
      <w:r w:rsidRPr="004A76D7">
        <w:rPr>
          <w:rFonts w:ascii="Rockwell" w:eastAsia="Times New Roman" w:hAnsi="Rockwell" w:cs="Times New Roman"/>
          <w:sz w:val="24"/>
          <w:szCs w:val="24"/>
        </w:rPr>
        <w:tab/>
        <w:t>Civil Society Organizations</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EA              </w:t>
      </w:r>
      <w:r w:rsidRPr="004A76D7">
        <w:rPr>
          <w:rFonts w:ascii="Rockwell" w:eastAsia="Times New Roman" w:hAnsi="Rockwell" w:cs="Times New Roman"/>
          <w:sz w:val="24"/>
          <w:szCs w:val="24"/>
        </w:rPr>
        <w:tab/>
        <w:t xml:space="preserve">-    </w:t>
      </w:r>
      <w:r w:rsidRPr="004A76D7">
        <w:rPr>
          <w:rFonts w:ascii="Rockwell" w:eastAsia="Times New Roman" w:hAnsi="Rockwell" w:cs="Times New Roman"/>
          <w:sz w:val="24"/>
          <w:szCs w:val="24"/>
        </w:rPr>
        <w:tab/>
        <w:t>Environmental Audit</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EFA </w:t>
      </w:r>
      <w:r w:rsidRPr="004A76D7">
        <w:rPr>
          <w:rFonts w:ascii="Rockwell" w:eastAsia="Times New Roman" w:hAnsi="Rockwell" w:cs="Times New Roman"/>
          <w:sz w:val="24"/>
          <w:szCs w:val="24"/>
        </w:rPr>
        <w:tab/>
        <w:t xml:space="preserve">           -    </w:t>
      </w:r>
      <w:r w:rsidRPr="004A76D7">
        <w:rPr>
          <w:rFonts w:ascii="Rockwell" w:eastAsia="Times New Roman" w:hAnsi="Rockwell" w:cs="Times New Roman"/>
          <w:sz w:val="24"/>
          <w:szCs w:val="24"/>
        </w:rPr>
        <w:tab/>
        <w:t>Environmental Financial Assurance</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E</w:t>
      </w:r>
      <w:r w:rsidR="00FB0549" w:rsidRPr="004A76D7">
        <w:rPr>
          <w:rFonts w:ascii="Rockwell" w:eastAsia="Times New Roman" w:hAnsi="Rockwell" w:cs="Times New Roman"/>
          <w:sz w:val="24"/>
          <w:szCs w:val="24"/>
        </w:rPr>
        <w:t>S</w:t>
      </w:r>
      <w:r w:rsidRPr="004A76D7">
        <w:rPr>
          <w:rFonts w:ascii="Rockwell" w:eastAsia="Times New Roman" w:hAnsi="Rockwell" w:cs="Times New Roman"/>
          <w:sz w:val="24"/>
          <w:szCs w:val="24"/>
        </w:rPr>
        <w:t xml:space="preserve">IA            </w:t>
      </w:r>
      <w:r w:rsidRPr="004A76D7">
        <w:rPr>
          <w:rFonts w:ascii="Rockwell" w:eastAsia="Times New Roman" w:hAnsi="Rockwell" w:cs="Times New Roman"/>
          <w:sz w:val="24"/>
          <w:szCs w:val="24"/>
        </w:rPr>
        <w:tab/>
        <w:t xml:space="preserve">-     </w:t>
      </w:r>
      <w:r w:rsidRPr="004A76D7">
        <w:rPr>
          <w:rFonts w:ascii="Rockwell" w:eastAsia="Times New Roman" w:hAnsi="Rockwell" w:cs="Times New Roman"/>
          <w:sz w:val="24"/>
          <w:szCs w:val="24"/>
        </w:rPr>
        <w:tab/>
        <w:t xml:space="preserve">Environmental </w:t>
      </w:r>
      <w:r w:rsidR="00FB0549" w:rsidRPr="004A76D7">
        <w:rPr>
          <w:rFonts w:ascii="Rockwell" w:eastAsia="Times New Roman" w:hAnsi="Rockwell" w:cs="Times New Roman"/>
          <w:sz w:val="24"/>
          <w:szCs w:val="24"/>
        </w:rPr>
        <w:t xml:space="preserve">and Social </w:t>
      </w:r>
      <w:r w:rsidRPr="004A76D7">
        <w:rPr>
          <w:rFonts w:ascii="Rockwell" w:eastAsia="Times New Roman" w:hAnsi="Rockwell" w:cs="Times New Roman"/>
          <w:sz w:val="24"/>
          <w:szCs w:val="24"/>
        </w:rPr>
        <w:t>Impact Assessment</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EMCA       </w:t>
      </w:r>
      <w:r w:rsidRPr="004A76D7">
        <w:rPr>
          <w:rFonts w:ascii="Rockwell" w:eastAsia="Times New Roman" w:hAnsi="Rockwell" w:cs="Times New Roman"/>
          <w:sz w:val="24"/>
          <w:szCs w:val="24"/>
        </w:rPr>
        <w:tab/>
        <w:t xml:space="preserve">-     </w:t>
      </w:r>
      <w:r w:rsidRPr="004A76D7">
        <w:rPr>
          <w:rFonts w:ascii="Rockwell" w:eastAsia="Times New Roman" w:hAnsi="Rockwell" w:cs="Times New Roman"/>
          <w:sz w:val="24"/>
          <w:szCs w:val="24"/>
        </w:rPr>
        <w:tab/>
        <w:t>Environmental Management and Coordination Act</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ESMP         </w:t>
      </w:r>
      <w:r w:rsidRPr="004A76D7">
        <w:rPr>
          <w:rFonts w:ascii="Rockwell" w:eastAsia="Times New Roman" w:hAnsi="Rockwell" w:cs="Times New Roman"/>
          <w:sz w:val="24"/>
          <w:szCs w:val="24"/>
        </w:rPr>
        <w:tab/>
        <w:t xml:space="preserve">-    </w:t>
      </w:r>
      <w:r w:rsidRPr="004A76D7">
        <w:rPr>
          <w:rFonts w:ascii="Rockwell" w:eastAsia="Times New Roman" w:hAnsi="Rockwell" w:cs="Times New Roman"/>
          <w:sz w:val="24"/>
          <w:szCs w:val="24"/>
        </w:rPr>
        <w:tab/>
        <w:t>Environmental and Social Management Plan</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GDP</w:t>
      </w:r>
      <w:r w:rsidRPr="004A76D7">
        <w:rPr>
          <w:rFonts w:ascii="Rockwell" w:eastAsia="Times New Roman" w:hAnsi="Rockwell" w:cs="Times New Roman"/>
          <w:sz w:val="24"/>
          <w:szCs w:val="24"/>
        </w:rPr>
        <w:tab/>
      </w:r>
      <w:r w:rsidRPr="004A76D7">
        <w:rPr>
          <w:rFonts w:ascii="Rockwell" w:eastAsia="Times New Roman" w:hAnsi="Rockwell" w:cs="Times New Roman"/>
          <w:sz w:val="24"/>
          <w:szCs w:val="24"/>
        </w:rPr>
        <w:tab/>
        <w:t>-</w:t>
      </w:r>
      <w:r w:rsidRPr="004A76D7">
        <w:rPr>
          <w:rFonts w:ascii="Rockwell" w:eastAsia="Times New Roman" w:hAnsi="Rockwell" w:cs="Times New Roman"/>
          <w:sz w:val="24"/>
          <w:szCs w:val="24"/>
        </w:rPr>
        <w:tab/>
        <w:t>Gross Domestic Product</w:t>
      </w:r>
    </w:p>
    <w:p w:rsidR="006822F2" w:rsidRPr="004A76D7" w:rsidRDefault="00AD5D8B" w:rsidP="000E7DFC">
      <w:pPr>
        <w:spacing w:before="240" w:after="160"/>
        <w:jc w:val="both"/>
        <w:rPr>
          <w:rFonts w:ascii="Rockwell" w:eastAsia="Times New Roman" w:hAnsi="Rockwell" w:cs="Times New Roman"/>
          <w:sz w:val="24"/>
          <w:szCs w:val="24"/>
        </w:rPr>
      </w:pPr>
      <w:proofErr w:type="spellStart"/>
      <w:r w:rsidRPr="004A76D7">
        <w:rPr>
          <w:rFonts w:ascii="Rockwell" w:eastAsia="Times New Roman" w:hAnsi="Rockwell" w:cs="Times New Roman"/>
          <w:sz w:val="24"/>
          <w:szCs w:val="24"/>
        </w:rPr>
        <w:t>GoK</w:t>
      </w:r>
      <w:proofErr w:type="spellEnd"/>
      <w:r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ab/>
      </w:r>
      <w:r w:rsidRPr="004A76D7">
        <w:rPr>
          <w:rFonts w:ascii="Rockwell" w:eastAsia="Times New Roman" w:hAnsi="Rockwell" w:cs="Times New Roman"/>
          <w:sz w:val="24"/>
          <w:szCs w:val="24"/>
        </w:rPr>
        <w:tab/>
        <w:t>-</w:t>
      </w:r>
      <w:r w:rsidRPr="004A76D7">
        <w:rPr>
          <w:rFonts w:ascii="Rockwell" w:eastAsia="Times New Roman" w:hAnsi="Rockwell" w:cs="Times New Roman"/>
          <w:sz w:val="24"/>
          <w:szCs w:val="24"/>
        </w:rPr>
        <w:tab/>
        <w:t>Government of Kenya</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IBPs           </w:t>
      </w:r>
      <w:r w:rsidRPr="004A76D7">
        <w:rPr>
          <w:rFonts w:ascii="Rockwell" w:eastAsia="Times New Roman" w:hAnsi="Rockwell" w:cs="Times New Roman"/>
          <w:sz w:val="24"/>
          <w:szCs w:val="24"/>
        </w:rPr>
        <w:tab/>
        <w:t xml:space="preserve">-     </w:t>
      </w:r>
      <w:r w:rsidRPr="004A76D7">
        <w:rPr>
          <w:rFonts w:ascii="Rockwell" w:eastAsia="Times New Roman" w:hAnsi="Rockwell" w:cs="Times New Roman"/>
          <w:sz w:val="24"/>
          <w:szCs w:val="24"/>
        </w:rPr>
        <w:tab/>
        <w:t>International Best Practices</w:t>
      </w:r>
    </w:p>
    <w:p w:rsidR="00FB0549" w:rsidRPr="004A76D7" w:rsidRDefault="00FB0549" w:rsidP="000E7DFC">
      <w:pPr>
        <w:spacing w:before="240" w:after="160"/>
        <w:jc w:val="both"/>
        <w:rPr>
          <w:rFonts w:ascii="Rockwell" w:eastAsia="Times New Roman" w:hAnsi="Rockwell" w:cs="Times New Roman"/>
          <w:sz w:val="24"/>
          <w:szCs w:val="24"/>
        </w:rPr>
      </w:pPr>
      <w:proofErr w:type="spellStart"/>
      <w:r w:rsidRPr="004A76D7">
        <w:rPr>
          <w:rFonts w:ascii="Rockwell" w:eastAsia="Times New Roman" w:hAnsi="Rockwell" w:cs="Times New Roman"/>
          <w:sz w:val="24"/>
          <w:szCs w:val="24"/>
        </w:rPr>
        <w:t>LoM</w:t>
      </w:r>
      <w:proofErr w:type="spellEnd"/>
      <w:r w:rsidRPr="004A76D7">
        <w:rPr>
          <w:rFonts w:ascii="Rockwell" w:eastAsia="Times New Roman" w:hAnsi="Rockwell" w:cs="Times New Roman"/>
          <w:sz w:val="24"/>
          <w:szCs w:val="24"/>
        </w:rPr>
        <w:tab/>
      </w:r>
      <w:r w:rsidRPr="004A76D7">
        <w:rPr>
          <w:rFonts w:ascii="Rockwell" w:eastAsia="Times New Roman" w:hAnsi="Rockwell" w:cs="Times New Roman"/>
          <w:sz w:val="24"/>
          <w:szCs w:val="24"/>
        </w:rPr>
        <w:tab/>
        <w:t>-</w:t>
      </w:r>
      <w:r w:rsidRPr="004A76D7">
        <w:rPr>
          <w:rFonts w:ascii="Rockwell" w:eastAsia="Times New Roman" w:hAnsi="Rockwell" w:cs="Times New Roman"/>
          <w:sz w:val="24"/>
          <w:szCs w:val="24"/>
        </w:rPr>
        <w:tab/>
        <w:t>Life of Mine</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MCDAs</w:t>
      </w:r>
      <w:r w:rsidRPr="004A76D7">
        <w:rPr>
          <w:rFonts w:ascii="Rockwell" w:eastAsia="Times New Roman" w:hAnsi="Rockwell" w:cs="Times New Roman"/>
          <w:sz w:val="24"/>
          <w:szCs w:val="24"/>
        </w:rPr>
        <w:tab/>
        <w:t>-</w:t>
      </w:r>
      <w:r w:rsidRPr="004A76D7">
        <w:rPr>
          <w:rFonts w:ascii="Rockwell" w:eastAsia="Times New Roman" w:hAnsi="Rockwell" w:cs="Times New Roman"/>
          <w:sz w:val="24"/>
          <w:szCs w:val="24"/>
        </w:rPr>
        <w:tab/>
        <w:t>Ministries, Counties, Departments and Agencies</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NEMA       </w:t>
      </w:r>
      <w:r w:rsidRPr="004A76D7">
        <w:rPr>
          <w:rFonts w:ascii="Rockwell" w:eastAsia="Times New Roman" w:hAnsi="Rockwell" w:cs="Times New Roman"/>
          <w:sz w:val="24"/>
          <w:szCs w:val="24"/>
        </w:rPr>
        <w:tab/>
        <w:t xml:space="preserve">-     </w:t>
      </w:r>
      <w:r w:rsidRPr="004A76D7">
        <w:rPr>
          <w:rFonts w:ascii="Rockwell" w:eastAsia="Times New Roman" w:hAnsi="Rockwell" w:cs="Times New Roman"/>
          <w:sz w:val="24"/>
          <w:szCs w:val="24"/>
        </w:rPr>
        <w:tab/>
        <w:t>National Environment Management Authority</w:t>
      </w:r>
    </w:p>
    <w:p w:rsidR="00FB0549" w:rsidRPr="004A76D7" w:rsidRDefault="00FB0549"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NPV </w:t>
      </w:r>
      <w:r w:rsidRPr="004A76D7">
        <w:rPr>
          <w:rFonts w:ascii="Rockwell" w:eastAsia="Times New Roman" w:hAnsi="Rockwell" w:cs="Times New Roman"/>
          <w:sz w:val="24"/>
          <w:szCs w:val="24"/>
        </w:rPr>
        <w:tab/>
      </w:r>
      <w:r w:rsidRPr="004A76D7">
        <w:rPr>
          <w:rFonts w:ascii="Rockwell" w:eastAsia="Times New Roman" w:hAnsi="Rockwell" w:cs="Times New Roman"/>
          <w:sz w:val="24"/>
          <w:szCs w:val="24"/>
        </w:rPr>
        <w:tab/>
        <w:t>-</w:t>
      </w:r>
      <w:r w:rsidRPr="004A76D7">
        <w:rPr>
          <w:rFonts w:ascii="Rockwell" w:eastAsia="Times New Roman" w:hAnsi="Rockwell" w:cs="Times New Roman"/>
          <w:sz w:val="24"/>
          <w:szCs w:val="24"/>
        </w:rPr>
        <w:tab/>
        <w:t>Net Profit value</w:t>
      </w:r>
    </w:p>
    <w:p w:rsidR="00FB0549" w:rsidRPr="004A76D7" w:rsidRDefault="00FB0549"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PAP </w:t>
      </w:r>
      <w:r w:rsidRPr="004A76D7">
        <w:rPr>
          <w:rFonts w:ascii="Rockwell" w:eastAsia="Times New Roman" w:hAnsi="Rockwell" w:cs="Times New Roman"/>
          <w:sz w:val="24"/>
          <w:szCs w:val="24"/>
        </w:rPr>
        <w:tab/>
      </w:r>
      <w:r w:rsidRPr="004A76D7">
        <w:rPr>
          <w:rFonts w:ascii="Rockwell" w:eastAsia="Times New Roman" w:hAnsi="Rockwell" w:cs="Times New Roman"/>
          <w:sz w:val="24"/>
          <w:szCs w:val="24"/>
        </w:rPr>
        <w:tab/>
        <w:t>-</w:t>
      </w:r>
      <w:r w:rsidRPr="004A76D7">
        <w:rPr>
          <w:rFonts w:ascii="Rockwell" w:eastAsia="Times New Roman" w:hAnsi="Rockwell" w:cs="Times New Roman"/>
          <w:sz w:val="24"/>
          <w:szCs w:val="24"/>
        </w:rPr>
        <w:tab/>
        <w:t>Project Affected Persons</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SD             </w:t>
      </w:r>
      <w:r w:rsidRPr="004A76D7">
        <w:rPr>
          <w:rFonts w:ascii="Rockwell" w:eastAsia="Times New Roman" w:hAnsi="Rockwell" w:cs="Times New Roman"/>
          <w:sz w:val="24"/>
          <w:szCs w:val="24"/>
        </w:rPr>
        <w:tab/>
        <w:t xml:space="preserve">-      </w:t>
      </w:r>
      <w:r w:rsidRPr="004A76D7">
        <w:rPr>
          <w:rFonts w:ascii="Rockwell" w:eastAsia="Times New Roman" w:hAnsi="Rockwell" w:cs="Times New Roman"/>
          <w:sz w:val="24"/>
          <w:szCs w:val="24"/>
        </w:rPr>
        <w:tab/>
        <w:t>Sustainable Development</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SDM </w:t>
      </w:r>
      <w:r w:rsidRPr="004A76D7">
        <w:rPr>
          <w:rFonts w:ascii="Rockwell" w:eastAsia="Times New Roman" w:hAnsi="Rockwell" w:cs="Times New Roman"/>
          <w:sz w:val="24"/>
          <w:szCs w:val="24"/>
        </w:rPr>
        <w:tab/>
      </w:r>
      <w:r w:rsidRPr="004A76D7">
        <w:rPr>
          <w:rFonts w:ascii="Rockwell" w:eastAsia="Times New Roman" w:hAnsi="Rockwell" w:cs="Times New Roman"/>
          <w:sz w:val="24"/>
          <w:szCs w:val="24"/>
        </w:rPr>
        <w:tab/>
        <w:t xml:space="preserve">- </w:t>
      </w:r>
      <w:r w:rsidRPr="004A76D7">
        <w:rPr>
          <w:rFonts w:ascii="Rockwell" w:eastAsia="Times New Roman" w:hAnsi="Rockwell" w:cs="Times New Roman"/>
          <w:sz w:val="24"/>
          <w:szCs w:val="24"/>
        </w:rPr>
        <w:tab/>
        <w:t>State Department for Mining</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TAC               -     </w:t>
      </w:r>
      <w:r w:rsidRPr="004A76D7">
        <w:rPr>
          <w:rFonts w:ascii="Rockwell" w:eastAsia="Times New Roman" w:hAnsi="Rockwell" w:cs="Times New Roman"/>
          <w:sz w:val="24"/>
          <w:szCs w:val="24"/>
        </w:rPr>
        <w:tab/>
        <w:t>Technical Advisory Committee</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UNEP        </w:t>
      </w:r>
      <w:r w:rsidRPr="004A76D7">
        <w:rPr>
          <w:rFonts w:ascii="Rockwell" w:eastAsia="Times New Roman" w:hAnsi="Rockwell" w:cs="Times New Roman"/>
          <w:sz w:val="24"/>
          <w:szCs w:val="24"/>
        </w:rPr>
        <w:tab/>
        <w:t xml:space="preserve">-      </w:t>
      </w:r>
      <w:r w:rsidRPr="004A76D7">
        <w:rPr>
          <w:rFonts w:ascii="Rockwell" w:eastAsia="Times New Roman" w:hAnsi="Rockwell" w:cs="Times New Roman"/>
          <w:sz w:val="24"/>
          <w:szCs w:val="24"/>
        </w:rPr>
        <w:tab/>
        <w:t xml:space="preserve">United Nations Environment </w:t>
      </w:r>
      <w:proofErr w:type="spellStart"/>
      <w:r w:rsidRPr="004A76D7">
        <w:rPr>
          <w:rFonts w:ascii="Rockwell" w:eastAsia="Times New Roman" w:hAnsi="Rockwell" w:cs="Times New Roman"/>
          <w:sz w:val="24"/>
          <w:szCs w:val="24"/>
        </w:rPr>
        <w:t>Programme</w:t>
      </w:r>
      <w:proofErr w:type="spellEnd"/>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ZEMA       </w:t>
      </w:r>
      <w:r w:rsidRPr="004A76D7">
        <w:rPr>
          <w:rFonts w:ascii="Rockwell" w:eastAsia="Times New Roman" w:hAnsi="Rockwell" w:cs="Times New Roman"/>
          <w:sz w:val="24"/>
          <w:szCs w:val="24"/>
        </w:rPr>
        <w:tab/>
        <w:t xml:space="preserve">-       </w:t>
      </w:r>
      <w:r w:rsidRPr="004A76D7">
        <w:rPr>
          <w:rFonts w:ascii="Rockwell" w:eastAsia="Times New Roman" w:hAnsi="Rockwell" w:cs="Times New Roman"/>
          <w:sz w:val="24"/>
          <w:szCs w:val="24"/>
        </w:rPr>
        <w:tab/>
        <w:t>Zambia Environmental Management Agency</w:t>
      </w:r>
    </w:p>
    <w:p w:rsidR="001453FB" w:rsidRPr="004A76D7" w:rsidRDefault="001453FB" w:rsidP="000E7DFC">
      <w:pPr>
        <w:spacing w:before="240" w:after="160"/>
        <w:jc w:val="both"/>
        <w:rPr>
          <w:rFonts w:ascii="Rockwell" w:eastAsia="Times New Roman" w:hAnsi="Rockwell" w:cs="Times New Roman"/>
          <w:sz w:val="24"/>
          <w:szCs w:val="24"/>
        </w:rPr>
      </w:pPr>
    </w:p>
    <w:p w:rsidR="001453FB" w:rsidRPr="004A76D7" w:rsidRDefault="001453FB" w:rsidP="000E7DFC">
      <w:pPr>
        <w:spacing w:before="240" w:after="160"/>
        <w:jc w:val="both"/>
        <w:rPr>
          <w:rFonts w:ascii="Rockwell" w:eastAsia="Times New Roman" w:hAnsi="Rockwell" w:cs="Times New Roman"/>
          <w:sz w:val="24"/>
          <w:szCs w:val="24"/>
        </w:rPr>
      </w:pPr>
    </w:p>
    <w:p w:rsidR="001453FB" w:rsidRDefault="001453FB" w:rsidP="000E7DFC">
      <w:pPr>
        <w:spacing w:before="240" w:after="160"/>
        <w:jc w:val="both"/>
        <w:rPr>
          <w:rFonts w:ascii="Rockwell" w:eastAsia="Times New Roman" w:hAnsi="Rockwell" w:cs="Times New Roman"/>
          <w:sz w:val="24"/>
          <w:szCs w:val="24"/>
        </w:rPr>
      </w:pPr>
    </w:p>
    <w:p w:rsidR="001453FB" w:rsidRPr="004A76D7" w:rsidRDefault="001453FB" w:rsidP="000E7DFC">
      <w:pPr>
        <w:pStyle w:val="Heading1"/>
        <w:spacing w:line="240" w:lineRule="auto"/>
        <w:jc w:val="both"/>
        <w:rPr>
          <w:rFonts w:ascii="Rockwell" w:eastAsia="Times New Roman" w:hAnsi="Rockwell" w:cs="Times New Roman"/>
          <w:b/>
          <w:sz w:val="24"/>
          <w:szCs w:val="24"/>
        </w:rPr>
      </w:pPr>
      <w:bookmarkStart w:id="4" w:name="_Toc209047092"/>
      <w:r w:rsidRPr="004A76D7">
        <w:rPr>
          <w:rFonts w:ascii="Rockwell" w:eastAsia="Times New Roman" w:hAnsi="Rockwell" w:cs="Times New Roman"/>
          <w:b/>
          <w:sz w:val="24"/>
          <w:szCs w:val="24"/>
        </w:rPr>
        <w:lastRenderedPageBreak/>
        <w:t>Definition of Terms</w:t>
      </w:r>
      <w:bookmarkEnd w:id="4"/>
      <w:r w:rsidRPr="004A76D7">
        <w:rPr>
          <w:rFonts w:ascii="Rockwell" w:eastAsia="Times New Roman" w:hAnsi="Rockwell" w:cs="Times New Roman"/>
          <w:b/>
          <w:sz w:val="24"/>
          <w:szCs w:val="24"/>
        </w:rPr>
        <w:t xml:space="preserve"> </w:t>
      </w:r>
    </w:p>
    <w:p w:rsidR="001453FB" w:rsidRPr="004A76D7" w:rsidRDefault="001453FB"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Abandoned land</w:t>
      </w:r>
      <w:r w:rsidRPr="004A76D7">
        <w:rPr>
          <w:rFonts w:ascii="Rockwell" w:eastAsia="Times New Roman" w:hAnsi="Rockwell" w:cs="Times New Roman"/>
          <w:sz w:val="24"/>
          <w:szCs w:val="24"/>
        </w:rPr>
        <w:t xml:space="preserve"> - means a degraded environment where the perpetrator is not identifiable;</w:t>
      </w:r>
    </w:p>
    <w:p w:rsidR="001453FB" w:rsidRPr="004A76D7" w:rsidRDefault="001453FB" w:rsidP="000E7DFC">
      <w:pPr>
        <w:spacing w:after="240" w:line="240" w:lineRule="auto"/>
        <w:jc w:val="both"/>
        <w:rPr>
          <w:rFonts w:ascii="Rockwell" w:eastAsia="Times New Roman" w:hAnsi="Rockwell" w:cs="Times New Roman"/>
          <w:sz w:val="24"/>
          <w:szCs w:val="24"/>
        </w:rPr>
      </w:pPr>
      <w:r w:rsidRPr="00152F6C">
        <w:rPr>
          <w:rFonts w:ascii="Rockwell" w:eastAsia="Times New Roman" w:hAnsi="Rockwell" w:cs="Times New Roman"/>
          <w:b/>
          <w:sz w:val="24"/>
          <w:szCs w:val="24"/>
          <w:highlight w:val="yellow"/>
        </w:rPr>
        <w:t>Act</w:t>
      </w:r>
      <w:r w:rsidRPr="00152F6C">
        <w:rPr>
          <w:rFonts w:ascii="Rockwell" w:eastAsia="Times New Roman" w:hAnsi="Rockwell" w:cs="Times New Roman"/>
          <w:sz w:val="24"/>
          <w:szCs w:val="24"/>
          <w:highlight w:val="yellow"/>
        </w:rPr>
        <w:t xml:space="preserve"> </w:t>
      </w:r>
      <w:proofErr w:type="gramStart"/>
      <w:r w:rsidRPr="00152F6C">
        <w:rPr>
          <w:rFonts w:ascii="Rockwell" w:eastAsia="Times New Roman" w:hAnsi="Rockwell" w:cs="Times New Roman"/>
          <w:sz w:val="24"/>
          <w:szCs w:val="24"/>
          <w:highlight w:val="yellow"/>
        </w:rPr>
        <w:t>-  means</w:t>
      </w:r>
      <w:proofErr w:type="gramEnd"/>
      <w:r w:rsidRPr="00152F6C">
        <w:rPr>
          <w:rFonts w:ascii="Rockwell" w:eastAsia="Times New Roman" w:hAnsi="Rockwell" w:cs="Times New Roman"/>
          <w:sz w:val="24"/>
          <w:szCs w:val="24"/>
          <w:highlight w:val="yellow"/>
        </w:rPr>
        <w:t xml:space="preserve"> the Environmental Management and Coordination Act, 1999;</w:t>
      </w:r>
    </w:p>
    <w:p w:rsidR="001453FB" w:rsidRPr="004A76D7" w:rsidRDefault="001453FB"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Affected media</w:t>
      </w:r>
      <w:r w:rsidRPr="004A76D7">
        <w:rPr>
          <w:rFonts w:ascii="Rockwell" w:eastAsia="Times New Roman" w:hAnsi="Rockwell" w:cs="Times New Roman"/>
          <w:sz w:val="24"/>
          <w:szCs w:val="24"/>
        </w:rPr>
        <w:t xml:space="preserve"> - means land, water, air, or any other natural resource that has been polluted, contaminated or degraded;</w:t>
      </w:r>
    </w:p>
    <w:p w:rsidR="001453FB" w:rsidRPr="004A76D7" w:rsidRDefault="001453FB"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Applicant</w:t>
      </w:r>
      <w:r w:rsidRPr="004A76D7">
        <w:rPr>
          <w:rFonts w:ascii="Rockwell" w:eastAsia="Times New Roman" w:hAnsi="Rockwell" w:cs="Times New Roman"/>
          <w:sz w:val="24"/>
          <w:szCs w:val="24"/>
        </w:rPr>
        <w:t xml:space="preserve"> - means any person who submits a Deposit Bond Assessment Report to the Authority for consideration and approval;</w:t>
      </w:r>
    </w:p>
    <w:p w:rsidR="001453FB" w:rsidRPr="004A76D7" w:rsidRDefault="001453FB"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Artisanal Mining</w:t>
      </w:r>
      <w:r w:rsidRPr="004A76D7">
        <w:rPr>
          <w:rFonts w:ascii="Rockwell" w:eastAsia="Times New Roman" w:hAnsi="Rockwell" w:cs="Times New Roman"/>
          <w:sz w:val="24"/>
          <w:szCs w:val="24"/>
        </w:rPr>
        <w:t xml:space="preserve">- </w:t>
      </w:r>
      <w:proofErr w:type="gramStart"/>
      <w:r w:rsidRPr="00F324A6">
        <w:rPr>
          <w:rFonts w:ascii="Rockwell" w:eastAsia="Times New Roman" w:hAnsi="Rockwell" w:cs="Times New Roman"/>
          <w:sz w:val="24"/>
          <w:szCs w:val="24"/>
        </w:rPr>
        <w:t>Means</w:t>
      </w:r>
      <w:proofErr w:type="gramEnd"/>
      <w:r w:rsidRPr="00F324A6">
        <w:rPr>
          <w:rFonts w:ascii="Rockwell" w:eastAsia="Times New Roman" w:hAnsi="Rockwell" w:cs="Times New Roman"/>
          <w:sz w:val="24"/>
          <w:szCs w:val="24"/>
        </w:rPr>
        <w:t xml:space="preserve"> traditional and customary mining operations using traditional or customary ways </w:t>
      </w:r>
      <w:r w:rsidR="00F324A6" w:rsidRPr="00F324A6">
        <w:rPr>
          <w:rFonts w:ascii="Rockwell" w:eastAsia="Times New Roman" w:hAnsi="Rockwell" w:cs="Times New Roman"/>
          <w:sz w:val="24"/>
          <w:szCs w:val="24"/>
        </w:rPr>
        <w:t xml:space="preserve">as defined in the Mining Act. </w:t>
      </w:r>
    </w:p>
    <w:p w:rsidR="001453FB" w:rsidRPr="004A76D7" w:rsidRDefault="001453FB"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Authority</w:t>
      </w:r>
      <w:r w:rsidRPr="004A76D7">
        <w:rPr>
          <w:rFonts w:ascii="Rockwell" w:eastAsia="Times New Roman" w:hAnsi="Rockwell" w:cs="Times New Roman"/>
          <w:sz w:val="24"/>
          <w:szCs w:val="24"/>
        </w:rPr>
        <w:t xml:space="preserve"> - means the National Environment Management Authority established under section 7 of the Act;</w:t>
      </w:r>
    </w:p>
    <w:p w:rsidR="001453FB" w:rsidRPr="004A76D7" w:rsidRDefault="001453FB"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Bond discharge certificate</w:t>
      </w:r>
      <w:r w:rsidRPr="004A76D7">
        <w:rPr>
          <w:rFonts w:ascii="Rockwell" w:eastAsia="Times New Roman" w:hAnsi="Rockwell" w:cs="Times New Roman"/>
          <w:sz w:val="24"/>
          <w:szCs w:val="24"/>
        </w:rPr>
        <w:t xml:space="preserve"> - means an authorization issued by the Authority certifying that the remediation works have met all completion criteria, specifications and standards for the refund of a deposit bond;</w:t>
      </w:r>
    </w:p>
    <w:p w:rsidR="001453FB" w:rsidRPr="004A76D7" w:rsidRDefault="001453FB" w:rsidP="000E7DFC">
      <w:pPr>
        <w:spacing w:after="240" w:line="240" w:lineRule="auto"/>
        <w:jc w:val="both"/>
        <w:rPr>
          <w:rFonts w:ascii="Rockwell" w:eastAsia="Times New Roman" w:hAnsi="Rockwell" w:cs="Times New Roman"/>
          <w:sz w:val="24"/>
          <w:szCs w:val="24"/>
        </w:rPr>
      </w:pPr>
      <w:r w:rsidRPr="00152F6C">
        <w:rPr>
          <w:rFonts w:ascii="Rockwell" w:eastAsia="Times New Roman" w:hAnsi="Rockwell" w:cs="Times New Roman"/>
          <w:b/>
          <w:sz w:val="24"/>
          <w:szCs w:val="24"/>
          <w:highlight w:val="yellow"/>
        </w:rPr>
        <w:t>Cabinet Secretary</w:t>
      </w:r>
      <w:r w:rsidRPr="00152F6C">
        <w:rPr>
          <w:rFonts w:ascii="Rockwell" w:eastAsia="Times New Roman" w:hAnsi="Rockwell" w:cs="Times New Roman"/>
          <w:sz w:val="24"/>
          <w:szCs w:val="24"/>
          <w:highlight w:val="yellow"/>
        </w:rPr>
        <w:t xml:space="preserve"> - means the Cabinet Secretary responsible for environmental matters;</w:t>
      </w:r>
    </w:p>
    <w:p w:rsidR="001453FB" w:rsidRDefault="001453FB"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Competent expert</w:t>
      </w:r>
      <w:r w:rsidRPr="004A76D7">
        <w:rPr>
          <w:rFonts w:ascii="Rockwell" w:eastAsia="Times New Roman" w:hAnsi="Rockwell" w:cs="Times New Roman"/>
          <w:sz w:val="24"/>
          <w:szCs w:val="24"/>
        </w:rPr>
        <w:t xml:space="preserve"> - means a multi-skilled team having knowledge in environmental valuation, law or actuary and led by an environmental assessment expert or firm licensed by the Authority;</w:t>
      </w:r>
    </w:p>
    <w:p w:rsidR="00152F6C" w:rsidRPr="0080795F" w:rsidRDefault="00152F6C" w:rsidP="0080795F">
      <w:pPr>
        <w:jc w:val="both"/>
        <w:rPr>
          <w:rFonts w:ascii="Rockwell" w:eastAsia="Times New Roman" w:hAnsi="Rockwell" w:cs="Times New Roman"/>
          <w:sz w:val="24"/>
          <w:szCs w:val="24"/>
        </w:rPr>
      </w:pPr>
      <w:r w:rsidRPr="0080795F">
        <w:rPr>
          <w:rFonts w:ascii="Rockwell" w:eastAsia="Times New Roman" w:hAnsi="Rockwell" w:cs="Times New Roman"/>
          <w:b/>
          <w:sz w:val="24"/>
          <w:szCs w:val="24"/>
          <w:highlight w:val="yellow"/>
        </w:rPr>
        <w:t xml:space="preserve">Closure </w:t>
      </w:r>
      <w:r w:rsidR="0080795F" w:rsidRPr="0080795F">
        <w:rPr>
          <w:rFonts w:ascii="Rockwell" w:eastAsia="Times New Roman" w:hAnsi="Rockwell" w:cs="Times New Roman"/>
          <w:b/>
          <w:sz w:val="24"/>
          <w:szCs w:val="24"/>
          <w:highlight w:val="yellow"/>
        </w:rPr>
        <w:t>–</w:t>
      </w:r>
      <w:r w:rsidRPr="0080795F">
        <w:rPr>
          <w:rFonts w:ascii="Rockwell" w:eastAsia="Times New Roman" w:hAnsi="Rockwell" w:cs="Times New Roman"/>
          <w:sz w:val="24"/>
          <w:szCs w:val="24"/>
        </w:rPr>
        <w:t xml:space="preserve"> </w:t>
      </w:r>
      <w:r w:rsidR="0080795F" w:rsidRPr="0080795F">
        <w:rPr>
          <w:rFonts w:ascii="Rockwell" w:eastAsia="Times New Roman" w:hAnsi="Rockwell" w:cs="Times New Roman"/>
          <w:sz w:val="24"/>
          <w:szCs w:val="24"/>
        </w:rPr>
        <w:t xml:space="preserve">means a whole-of-mine-life process </w:t>
      </w:r>
      <w:r w:rsidR="0080795F" w:rsidRPr="0080795F">
        <w:rPr>
          <w:rFonts w:ascii="Rockwell" w:eastAsia="Times New Roman" w:hAnsi="Rockwell" w:cs="Times New Roman"/>
          <w:bCs/>
          <w:sz w:val="24"/>
          <w:szCs w:val="24"/>
        </w:rPr>
        <w:t>of shutting down mining operations</w:t>
      </w:r>
      <w:r w:rsidR="0080795F" w:rsidRPr="0080795F">
        <w:rPr>
          <w:rFonts w:ascii="Rockwell" w:eastAsia="Times New Roman" w:hAnsi="Rockwell" w:cs="Times New Roman"/>
          <w:sz w:val="24"/>
          <w:szCs w:val="24"/>
        </w:rPr>
        <w:t xml:space="preserve"> after the extraction of minerals has ceased, and culminates in decommissioning and rehabilitation of the site to conditions that are safe, stable, and environmentally sustainable.</w:t>
      </w:r>
    </w:p>
    <w:p w:rsidR="0080795F" w:rsidRPr="0080795F" w:rsidRDefault="0080795F" w:rsidP="0080795F">
      <w:pPr>
        <w:jc w:val="both"/>
        <w:rPr>
          <w:rFonts w:ascii="Rockwell" w:eastAsia="Times New Roman" w:hAnsi="Rockwell" w:cs="Times New Roman"/>
          <w:sz w:val="24"/>
          <w:szCs w:val="24"/>
        </w:rPr>
      </w:pPr>
    </w:p>
    <w:p w:rsidR="00B02EA8" w:rsidRPr="0080795F" w:rsidRDefault="00B02EA8" w:rsidP="0080795F">
      <w:pPr>
        <w:jc w:val="both"/>
        <w:rPr>
          <w:rFonts w:ascii="Rockwell" w:eastAsia="Times New Roman" w:hAnsi="Rockwell" w:cs="Times New Roman"/>
          <w:sz w:val="24"/>
          <w:szCs w:val="24"/>
        </w:rPr>
      </w:pPr>
      <w:r w:rsidRPr="0080795F">
        <w:rPr>
          <w:rFonts w:ascii="Rockwell" w:eastAsia="Times New Roman" w:hAnsi="Rockwell" w:cs="Times New Roman"/>
          <w:b/>
          <w:sz w:val="24"/>
          <w:szCs w:val="24"/>
          <w:highlight w:val="yellow"/>
        </w:rPr>
        <w:t>Decommissioning -</w:t>
      </w:r>
      <w:r w:rsidRPr="0080795F">
        <w:rPr>
          <w:rFonts w:ascii="Rockwell" w:eastAsia="Times New Roman" w:hAnsi="Rockwell" w:cs="Times New Roman"/>
          <w:sz w:val="24"/>
          <w:szCs w:val="24"/>
        </w:rPr>
        <w:t xml:space="preserve"> </w:t>
      </w:r>
      <w:r w:rsidR="0080795F" w:rsidRPr="0080795F">
        <w:rPr>
          <w:rFonts w:ascii="Rockwell" w:eastAsia="Times New Roman" w:hAnsi="Rockwell" w:cs="Times New Roman"/>
          <w:sz w:val="24"/>
          <w:szCs w:val="24"/>
        </w:rPr>
        <w:t>A process that begins near, or at, the cessation of mineral production and ends with removal of all unwanted infrastructure and services.</w:t>
      </w:r>
    </w:p>
    <w:p w:rsidR="0080795F" w:rsidRPr="0080795F" w:rsidRDefault="0080795F" w:rsidP="0080795F">
      <w:pPr>
        <w:rPr>
          <w:rFonts w:ascii="Times New Roman" w:eastAsia="Times New Roman" w:hAnsi="Times New Roman" w:cs="Times New Roman"/>
          <w:sz w:val="24"/>
          <w:szCs w:val="24"/>
          <w:lang w:val="en-US"/>
        </w:rPr>
      </w:pP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Deposit Bond Assessment Report</w:t>
      </w:r>
      <w:r w:rsidRPr="004A76D7">
        <w:rPr>
          <w:rFonts w:ascii="Rockwell" w:eastAsia="Times New Roman" w:hAnsi="Rockwell" w:cs="Times New Roman"/>
          <w:sz w:val="24"/>
          <w:szCs w:val="24"/>
        </w:rPr>
        <w:t xml:space="preserve"> - means a written site specific, remediation and post-remediation care and maintenance cost estimates;</w:t>
      </w: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Director-General</w:t>
      </w:r>
      <w:r w:rsidRPr="004A76D7">
        <w:rPr>
          <w:rFonts w:ascii="Rockwell" w:eastAsia="Times New Roman" w:hAnsi="Rockwell" w:cs="Times New Roman"/>
          <w:sz w:val="24"/>
          <w:szCs w:val="24"/>
        </w:rPr>
        <w:t xml:space="preserve"> - means the Director-General of the Authority appointed under section 10 of the Act;</w:t>
      </w:r>
    </w:p>
    <w:p w:rsid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Environmental emergency</w:t>
      </w:r>
      <w:r w:rsidRPr="004A76D7">
        <w:rPr>
          <w:rFonts w:ascii="Rockwell" w:eastAsia="Times New Roman" w:hAnsi="Rockwell" w:cs="Times New Roman"/>
          <w:sz w:val="24"/>
          <w:szCs w:val="24"/>
        </w:rPr>
        <w:t xml:space="preserve"> - means the sudden-onset of disasters, accidents or unexpected condition or situation resulting from technological or human-induced factors, or a combination of both, that in the reasonable opinion of the Authority, materially or adversely, or is likely to materially or adversely cause severe damage to all or to a significant part thereof, or which presents a physical threat to persons or property or the environment;</w:t>
      </w:r>
    </w:p>
    <w:p w:rsidR="00A044E8" w:rsidRPr="004A76D7" w:rsidRDefault="00A044E8" w:rsidP="00A044E8">
      <w:pPr>
        <w:spacing w:after="240" w:line="240" w:lineRule="auto"/>
        <w:jc w:val="both"/>
        <w:rPr>
          <w:rFonts w:ascii="Rockwell" w:eastAsia="Times New Roman" w:hAnsi="Rockwell" w:cs="Times New Roman"/>
          <w:sz w:val="24"/>
          <w:szCs w:val="24"/>
        </w:rPr>
      </w:pPr>
      <w:r>
        <w:rPr>
          <w:rFonts w:ascii="Rockwell" w:eastAsia="Times New Roman" w:hAnsi="Rockwell" w:cs="Times New Roman"/>
          <w:b/>
          <w:sz w:val="24"/>
          <w:szCs w:val="24"/>
          <w:highlight w:val="yellow"/>
        </w:rPr>
        <w:lastRenderedPageBreak/>
        <w:t xml:space="preserve">Environmental </w:t>
      </w:r>
      <w:r w:rsidRPr="004F0650">
        <w:rPr>
          <w:rFonts w:ascii="Rockwell" w:eastAsia="Times New Roman" w:hAnsi="Rockwell" w:cs="Times New Roman"/>
          <w:b/>
          <w:sz w:val="24"/>
          <w:szCs w:val="24"/>
          <w:highlight w:val="yellow"/>
        </w:rPr>
        <w:t>Deposit bond</w:t>
      </w:r>
      <w:r w:rsidRPr="004F0650">
        <w:rPr>
          <w:rFonts w:ascii="Rockwell" w:eastAsia="Times New Roman" w:hAnsi="Rockwell" w:cs="Times New Roman"/>
          <w:sz w:val="24"/>
          <w:szCs w:val="24"/>
          <w:highlight w:val="yellow"/>
        </w:rPr>
        <w:t xml:space="preserve"> - means an environmental financial assurance where refundable payments are made to the Authority before a potentially environmentally damaging activity is undertaken which constitutes appropriate security for good environmental practice;</w:t>
      </w:r>
    </w:p>
    <w:p w:rsidR="006C7AC0" w:rsidRPr="00A044E8" w:rsidRDefault="006C7AC0" w:rsidP="000E7DFC">
      <w:pPr>
        <w:spacing w:after="240" w:line="240" w:lineRule="auto"/>
        <w:jc w:val="both"/>
        <w:rPr>
          <w:rFonts w:ascii="Rockwell" w:eastAsia="Times New Roman" w:hAnsi="Rockwell" w:cs="Times New Roman"/>
          <w:sz w:val="24"/>
          <w:szCs w:val="24"/>
        </w:rPr>
      </w:pPr>
      <w:r w:rsidRPr="006C7AC0">
        <w:rPr>
          <w:rFonts w:ascii="Rockwell" w:eastAsia="Times New Roman" w:hAnsi="Rockwell" w:cs="Times New Roman"/>
          <w:b/>
          <w:sz w:val="24"/>
          <w:szCs w:val="24"/>
          <w:highlight w:val="yellow"/>
        </w:rPr>
        <w:t>Environmental Protection Bo</w:t>
      </w:r>
      <w:r w:rsidRPr="00A044E8">
        <w:rPr>
          <w:rFonts w:ascii="Rockwell" w:eastAsia="Times New Roman" w:hAnsi="Rockwell" w:cs="Times New Roman"/>
          <w:b/>
          <w:sz w:val="24"/>
          <w:szCs w:val="24"/>
          <w:highlight w:val="yellow"/>
        </w:rPr>
        <w:t xml:space="preserve">nd </w:t>
      </w:r>
      <w:r w:rsidR="00A044E8" w:rsidRPr="00A044E8">
        <w:rPr>
          <w:rFonts w:ascii="Rockwell" w:eastAsia="Times New Roman" w:hAnsi="Rockwell" w:cs="Times New Roman"/>
          <w:b/>
          <w:sz w:val="24"/>
          <w:szCs w:val="24"/>
          <w:highlight w:val="yellow"/>
        </w:rPr>
        <w:t>–</w:t>
      </w:r>
      <w:r w:rsidRPr="00A044E8">
        <w:rPr>
          <w:rFonts w:ascii="Rockwell" w:eastAsia="Times New Roman" w:hAnsi="Rockwell" w:cs="Times New Roman"/>
          <w:b/>
          <w:sz w:val="24"/>
          <w:szCs w:val="24"/>
          <w:highlight w:val="yellow"/>
        </w:rPr>
        <w:t xml:space="preserve"> </w:t>
      </w:r>
      <w:r w:rsidR="00A044E8" w:rsidRPr="00A044E8">
        <w:rPr>
          <w:rFonts w:ascii="Rockwell" w:eastAsia="Times New Roman" w:hAnsi="Rockwell" w:cs="Times New Roman"/>
          <w:sz w:val="24"/>
          <w:szCs w:val="24"/>
          <w:highlight w:val="yellow"/>
        </w:rPr>
        <w:t>means a financial security sufficient to cover the cost associated with the implementation of the environmental and rehabilitation obligations as stated in Section 181 of the Mining Act</w:t>
      </w:r>
      <w:r w:rsidR="00845FF3">
        <w:rPr>
          <w:rFonts w:ascii="Rockwell" w:eastAsia="Times New Roman" w:hAnsi="Rockwell" w:cs="Times New Roman"/>
          <w:sz w:val="24"/>
          <w:szCs w:val="24"/>
          <w:highlight w:val="yellow"/>
        </w:rPr>
        <w:t xml:space="preserve"> cap 306</w:t>
      </w:r>
      <w:r w:rsidR="00A044E8" w:rsidRPr="00A044E8">
        <w:rPr>
          <w:rFonts w:ascii="Rockwell" w:eastAsia="Times New Roman" w:hAnsi="Rockwell" w:cs="Times New Roman"/>
          <w:sz w:val="24"/>
          <w:szCs w:val="24"/>
          <w:highlight w:val="yellow"/>
        </w:rPr>
        <w:t>;</w:t>
      </w: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Facility</w:t>
      </w:r>
      <w:r w:rsidRPr="004A76D7">
        <w:rPr>
          <w:rFonts w:ascii="Rockwell" w:eastAsia="Times New Roman" w:hAnsi="Rockwell" w:cs="Times New Roman"/>
          <w:sz w:val="24"/>
          <w:szCs w:val="24"/>
        </w:rPr>
        <w:t xml:space="preserve"> - means a place where any of the activities listed in the First Schedule </w:t>
      </w:r>
      <w:r w:rsidR="000A38F4">
        <w:rPr>
          <w:rFonts w:ascii="Rockwell" w:eastAsia="Times New Roman" w:hAnsi="Rockwell" w:cs="Times New Roman"/>
          <w:sz w:val="24"/>
          <w:szCs w:val="24"/>
        </w:rPr>
        <w:t xml:space="preserve">of the Deposit Bonds Regulations </w:t>
      </w:r>
      <w:r w:rsidRPr="004A76D7">
        <w:rPr>
          <w:rFonts w:ascii="Rockwell" w:eastAsia="Times New Roman" w:hAnsi="Rockwell" w:cs="Times New Roman"/>
          <w:sz w:val="24"/>
          <w:szCs w:val="24"/>
        </w:rPr>
        <w:t>is undertaken;</w:t>
      </w: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Good environmental practice</w:t>
      </w:r>
      <w:r w:rsidRPr="004A76D7">
        <w:rPr>
          <w:rFonts w:ascii="Rockwell" w:eastAsia="Times New Roman" w:hAnsi="Rockwell" w:cs="Times New Roman"/>
          <w:sz w:val="24"/>
          <w:szCs w:val="24"/>
        </w:rPr>
        <w:t xml:space="preserve"> - means a practice that is in accordance with the provisions of </w:t>
      </w:r>
      <w:r w:rsidR="000A38F4">
        <w:rPr>
          <w:rFonts w:ascii="Rockwell" w:eastAsia="Times New Roman" w:hAnsi="Rockwell" w:cs="Times New Roman"/>
          <w:sz w:val="24"/>
          <w:szCs w:val="24"/>
        </w:rPr>
        <w:t xml:space="preserve">the </w:t>
      </w:r>
      <w:r w:rsidRPr="004A76D7">
        <w:rPr>
          <w:rFonts w:ascii="Rockwell" w:eastAsia="Times New Roman" w:hAnsi="Rockwell" w:cs="Times New Roman"/>
          <w:sz w:val="24"/>
          <w:szCs w:val="24"/>
        </w:rPr>
        <w:t>Act or any other existing law;</w:t>
      </w: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Industrial plants</w:t>
      </w:r>
      <w:r w:rsidRPr="004A76D7">
        <w:rPr>
          <w:rFonts w:ascii="Rockwell" w:eastAsia="Times New Roman" w:hAnsi="Rockwell" w:cs="Times New Roman"/>
          <w:sz w:val="24"/>
          <w:szCs w:val="24"/>
        </w:rPr>
        <w:t xml:space="preserve"> - means undertaking manufacturing, engineering and trade activities as listed in the First Schedule</w:t>
      </w:r>
      <w:r w:rsidR="000A38F4">
        <w:rPr>
          <w:rFonts w:ascii="Rockwell" w:eastAsia="Times New Roman" w:hAnsi="Rockwell" w:cs="Times New Roman"/>
          <w:sz w:val="24"/>
          <w:szCs w:val="24"/>
        </w:rPr>
        <w:t xml:space="preserve"> of the Deposit Bonds Regulations</w:t>
      </w:r>
      <w:r w:rsidRPr="004A76D7">
        <w:rPr>
          <w:rFonts w:ascii="Rockwell" w:eastAsia="Times New Roman" w:hAnsi="Rockwell" w:cs="Times New Roman"/>
          <w:sz w:val="24"/>
          <w:szCs w:val="24"/>
        </w:rPr>
        <w:t>;</w:t>
      </w: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Large Scale Prospecting</w:t>
      </w:r>
      <w:r w:rsidRPr="004A76D7">
        <w:rPr>
          <w:rFonts w:ascii="Rockwell" w:eastAsia="Times New Roman" w:hAnsi="Rockwell" w:cs="Times New Roman"/>
          <w:sz w:val="24"/>
          <w:szCs w:val="24"/>
        </w:rPr>
        <w:t>- means prospecti</w:t>
      </w:r>
      <w:r w:rsidR="000A38F4">
        <w:rPr>
          <w:rFonts w:ascii="Rockwell" w:eastAsia="Times New Roman" w:hAnsi="Rockwell" w:cs="Times New Roman"/>
          <w:sz w:val="24"/>
          <w:szCs w:val="24"/>
        </w:rPr>
        <w:t>ng</w:t>
      </w:r>
      <w:r w:rsidRPr="004A76D7">
        <w:rPr>
          <w:rFonts w:ascii="Rockwell" w:eastAsia="Times New Roman" w:hAnsi="Rockwell" w:cs="Times New Roman"/>
          <w:sz w:val="24"/>
          <w:szCs w:val="24"/>
        </w:rPr>
        <w:t xml:space="preserve"> operation </w:t>
      </w:r>
      <w:r w:rsidR="000A38F4">
        <w:rPr>
          <w:rFonts w:ascii="Rockwell" w:eastAsia="Times New Roman" w:hAnsi="Rockwell" w:cs="Times New Roman"/>
          <w:sz w:val="24"/>
          <w:szCs w:val="24"/>
        </w:rPr>
        <w:t xml:space="preserve">in an </w:t>
      </w:r>
      <w:r w:rsidRPr="004A76D7">
        <w:rPr>
          <w:rFonts w:ascii="Rockwell" w:eastAsia="Times New Roman" w:hAnsi="Rockwell" w:cs="Times New Roman"/>
          <w:sz w:val="24"/>
          <w:szCs w:val="24"/>
        </w:rPr>
        <w:t xml:space="preserve">area </w:t>
      </w:r>
      <w:r w:rsidR="000A38F4">
        <w:rPr>
          <w:rFonts w:ascii="Rockwell" w:eastAsia="Times New Roman" w:hAnsi="Rockwell" w:cs="Times New Roman"/>
          <w:sz w:val="24"/>
          <w:szCs w:val="24"/>
        </w:rPr>
        <w:t xml:space="preserve">that </w:t>
      </w:r>
      <w:r w:rsidRPr="004A76D7">
        <w:rPr>
          <w:rFonts w:ascii="Rockwell" w:eastAsia="Times New Roman" w:hAnsi="Rockwell" w:cs="Times New Roman"/>
          <w:sz w:val="24"/>
          <w:szCs w:val="24"/>
        </w:rPr>
        <w:t>does not exceed 1,500 contiguous Blocks (315 sq. Km);</w:t>
      </w:r>
    </w:p>
    <w:p w:rsidR="004F0650"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Large Scale Mining</w:t>
      </w:r>
      <w:r w:rsidRPr="004A76D7">
        <w:rPr>
          <w:rFonts w:ascii="Rockwell" w:eastAsia="Times New Roman" w:hAnsi="Rockwell" w:cs="Times New Roman"/>
          <w:sz w:val="24"/>
          <w:szCs w:val="24"/>
        </w:rPr>
        <w:t>- means mining operations in an area that does not exceed 300 contiguous Blocks (63 sq. Km);</w:t>
      </w:r>
    </w:p>
    <w:p w:rsid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Mineral Right Holder</w:t>
      </w:r>
      <w:r w:rsidRPr="004A76D7">
        <w:rPr>
          <w:rFonts w:ascii="Rockwell" w:eastAsia="Times New Roman" w:hAnsi="Rockwell" w:cs="Times New Roman"/>
          <w:sz w:val="24"/>
          <w:szCs w:val="24"/>
        </w:rPr>
        <w:t xml:space="preserve"> - means an operator of prospecting or mining operations as lic</w:t>
      </w:r>
      <w:r w:rsidR="000A38F4">
        <w:rPr>
          <w:rFonts w:ascii="Rockwell" w:eastAsia="Times New Roman" w:hAnsi="Rockwell" w:cs="Times New Roman"/>
          <w:sz w:val="24"/>
          <w:szCs w:val="24"/>
        </w:rPr>
        <w:t>ensed under the Mining Act, CAP 306</w:t>
      </w:r>
      <w:r w:rsidRPr="004A76D7">
        <w:rPr>
          <w:rFonts w:ascii="Rockwell" w:eastAsia="Times New Roman" w:hAnsi="Rockwell" w:cs="Times New Roman"/>
          <w:sz w:val="24"/>
          <w:szCs w:val="24"/>
        </w:rPr>
        <w:t>;</w:t>
      </w:r>
    </w:p>
    <w:p w:rsidR="00B02EA8" w:rsidRPr="00B02EA8" w:rsidRDefault="00B02EA8" w:rsidP="000E7DFC">
      <w:pPr>
        <w:spacing w:after="240" w:line="240" w:lineRule="auto"/>
        <w:jc w:val="both"/>
        <w:rPr>
          <w:rFonts w:ascii="Rockwell" w:eastAsia="Times New Roman" w:hAnsi="Rockwell" w:cs="Times New Roman"/>
          <w:sz w:val="24"/>
          <w:szCs w:val="24"/>
        </w:rPr>
      </w:pPr>
      <w:r w:rsidRPr="00B02EA8">
        <w:rPr>
          <w:rFonts w:ascii="Rockwell" w:eastAsia="Times New Roman" w:hAnsi="Rockwell" w:cs="Times New Roman"/>
          <w:b/>
          <w:sz w:val="24"/>
          <w:szCs w:val="24"/>
        </w:rPr>
        <w:t xml:space="preserve">Mining </w:t>
      </w:r>
      <w:r>
        <w:rPr>
          <w:rFonts w:ascii="Rockwell" w:eastAsia="Times New Roman" w:hAnsi="Rockwell" w:cs="Times New Roman"/>
          <w:b/>
          <w:sz w:val="24"/>
          <w:szCs w:val="24"/>
        </w:rPr>
        <w:t xml:space="preserve">Operations – </w:t>
      </w:r>
      <w:r w:rsidRPr="00B02EA8">
        <w:rPr>
          <w:rFonts w:ascii="Rockwell" w:eastAsia="Times New Roman" w:hAnsi="Rockwell" w:cs="Times New Roman"/>
          <w:sz w:val="24"/>
          <w:szCs w:val="24"/>
        </w:rPr>
        <w:t>means an operation carried out in connection with a mine</w:t>
      </w:r>
      <w:r>
        <w:rPr>
          <w:rFonts w:ascii="Rockwell" w:eastAsia="Times New Roman" w:hAnsi="Rockwell" w:cs="Times New Roman"/>
          <w:sz w:val="24"/>
          <w:szCs w:val="24"/>
        </w:rPr>
        <w:t>; to win a mineral from where</w:t>
      </w:r>
      <w:r w:rsidRPr="00B02EA8">
        <w:rPr>
          <w:rFonts w:ascii="Rockwell" w:eastAsia="Times New Roman" w:hAnsi="Rockwell" w:cs="Times New Roman"/>
          <w:sz w:val="24"/>
          <w:szCs w:val="24"/>
        </w:rPr>
        <w:t xml:space="preserve"> </w:t>
      </w:r>
      <w:r>
        <w:rPr>
          <w:rFonts w:ascii="Rockwell" w:eastAsia="Times New Roman" w:hAnsi="Rockwell" w:cs="Times New Roman"/>
          <w:sz w:val="24"/>
          <w:szCs w:val="24"/>
        </w:rPr>
        <w:t>it occurs; to extract metal or precious mineral from a mineral so won, or to beneficiate a mineral so won; or to dispose a mine waste or tailings resulting from winning, extraction or benefaction;</w:t>
      </w: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 xml:space="preserve">Notice of confiscation </w:t>
      </w:r>
      <w:r w:rsidRPr="004A76D7">
        <w:rPr>
          <w:rFonts w:ascii="Rockwell" w:eastAsia="Times New Roman" w:hAnsi="Rockwell" w:cs="Times New Roman"/>
          <w:sz w:val="24"/>
          <w:szCs w:val="24"/>
        </w:rPr>
        <w:t xml:space="preserve">- means a notice issued by the </w:t>
      </w:r>
      <w:r w:rsidRPr="004A76D7">
        <w:rPr>
          <w:rFonts w:ascii="Rockwell" w:eastAsia="Times New Roman" w:hAnsi="Rockwell" w:cs="Times New Roman"/>
          <w:color w:val="010302"/>
          <w:sz w:val="24"/>
          <w:szCs w:val="24"/>
        </w:rPr>
        <w:t>Authority</w:t>
      </w:r>
      <w:r w:rsidRPr="004A76D7">
        <w:rPr>
          <w:rFonts w:ascii="Rockwell" w:eastAsia="Times New Roman" w:hAnsi="Rockwell" w:cs="Times New Roman"/>
          <w:sz w:val="24"/>
          <w:szCs w:val="24"/>
        </w:rPr>
        <w:t xml:space="preserve"> for the purposes of confiscation of a deposit bond;</w:t>
      </w: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Operator</w:t>
      </w:r>
      <w:r w:rsidRPr="004A76D7">
        <w:rPr>
          <w:rFonts w:ascii="Rockwell" w:eastAsia="Times New Roman" w:hAnsi="Rockwell" w:cs="Times New Roman"/>
          <w:sz w:val="24"/>
          <w:szCs w:val="24"/>
        </w:rPr>
        <w:t xml:space="preserve"> - means a registered proprietor of the activities listed in the First Schedule</w:t>
      </w:r>
      <w:r w:rsidR="000A38F4">
        <w:rPr>
          <w:rFonts w:ascii="Rockwell" w:eastAsia="Times New Roman" w:hAnsi="Rockwell" w:cs="Times New Roman"/>
          <w:sz w:val="24"/>
          <w:szCs w:val="24"/>
        </w:rPr>
        <w:t xml:space="preserve"> of the Deposit Bonds Regulations</w:t>
      </w:r>
      <w:r w:rsidRPr="004A76D7">
        <w:rPr>
          <w:rFonts w:ascii="Rockwell" w:eastAsia="Times New Roman" w:hAnsi="Rockwell" w:cs="Times New Roman"/>
          <w:sz w:val="24"/>
          <w:szCs w:val="24"/>
        </w:rPr>
        <w:t>;</w:t>
      </w: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 xml:space="preserve">Proponent </w:t>
      </w:r>
      <w:r w:rsidRPr="004A76D7">
        <w:rPr>
          <w:rFonts w:ascii="Rockwell" w:eastAsia="Times New Roman" w:hAnsi="Rockwell" w:cs="Times New Roman"/>
          <w:sz w:val="24"/>
          <w:szCs w:val="24"/>
        </w:rPr>
        <w:t xml:space="preserve">- means a person proposing any project, </w:t>
      </w:r>
      <w:proofErr w:type="spellStart"/>
      <w:r w:rsidRPr="004A76D7">
        <w:rPr>
          <w:rFonts w:ascii="Rockwell" w:eastAsia="Times New Roman" w:hAnsi="Rockwell" w:cs="Times New Roman"/>
          <w:sz w:val="24"/>
          <w:szCs w:val="24"/>
        </w:rPr>
        <w:t>programme</w:t>
      </w:r>
      <w:proofErr w:type="spellEnd"/>
      <w:r w:rsidRPr="004A76D7">
        <w:rPr>
          <w:rFonts w:ascii="Rockwell" w:eastAsia="Times New Roman" w:hAnsi="Rockwell" w:cs="Times New Roman"/>
          <w:sz w:val="24"/>
          <w:szCs w:val="24"/>
        </w:rPr>
        <w:t xml:space="preserve"> or undertaking listed in the First Schedule</w:t>
      </w:r>
      <w:r w:rsidR="000A38F4">
        <w:rPr>
          <w:rFonts w:ascii="Rockwell" w:eastAsia="Times New Roman" w:hAnsi="Rockwell" w:cs="Times New Roman"/>
          <w:sz w:val="24"/>
          <w:szCs w:val="24"/>
        </w:rPr>
        <w:t xml:space="preserve"> of the Deposit Bonds Regulations</w:t>
      </w:r>
      <w:r w:rsidRPr="004A76D7">
        <w:rPr>
          <w:rFonts w:ascii="Rockwell" w:eastAsia="Times New Roman" w:hAnsi="Rockwell" w:cs="Times New Roman"/>
          <w:sz w:val="24"/>
          <w:szCs w:val="24"/>
        </w:rPr>
        <w:t>;</w:t>
      </w:r>
    </w:p>
    <w:p w:rsidR="000A38F4" w:rsidRDefault="000A38F4" w:rsidP="000E7DFC">
      <w:pPr>
        <w:spacing w:after="240" w:line="240" w:lineRule="auto"/>
        <w:jc w:val="both"/>
        <w:rPr>
          <w:rFonts w:ascii="Rockwell" w:eastAsia="Times New Roman" w:hAnsi="Rockwell" w:cs="Times New Roman"/>
          <w:b/>
          <w:sz w:val="24"/>
          <w:szCs w:val="24"/>
        </w:rPr>
      </w:pPr>
      <w:r>
        <w:rPr>
          <w:rFonts w:ascii="Rockwell" w:eastAsia="Times New Roman" w:hAnsi="Rockwell" w:cs="Times New Roman"/>
          <w:b/>
          <w:sz w:val="24"/>
          <w:szCs w:val="24"/>
        </w:rPr>
        <w:t xml:space="preserve">Prospecting </w:t>
      </w:r>
      <w:r w:rsidR="00B02EA8">
        <w:rPr>
          <w:rFonts w:ascii="Rockwell" w:eastAsia="Times New Roman" w:hAnsi="Rockwell" w:cs="Times New Roman"/>
          <w:b/>
          <w:sz w:val="24"/>
          <w:szCs w:val="24"/>
        </w:rPr>
        <w:t xml:space="preserve">Operations </w:t>
      </w:r>
      <w:r>
        <w:rPr>
          <w:rFonts w:ascii="Rockwell" w:eastAsia="Times New Roman" w:hAnsi="Rockwell" w:cs="Times New Roman"/>
          <w:b/>
          <w:sz w:val="24"/>
          <w:szCs w:val="24"/>
        </w:rPr>
        <w:t xml:space="preserve">– </w:t>
      </w:r>
      <w:r w:rsidRPr="000A38F4">
        <w:rPr>
          <w:rFonts w:ascii="Rockwell" w:eastAsia="Times New Roman" w:hAnsi="Rockwell" w:cs="Times New Roman"/>
          <w:sz w:val="24"/>
          <w:szCs w:val="24"/>
        </w:rPr>
        <w:t>means</w:t>
      </w:r>
      <w:r>
        <w:rPr>
          <w:rFonts w:ascii="Rockwell" w:eastAsia="Times New Roman" w:hAnsi="Rockwell" w:cs="Times New Roman"/>
          <w:sz w:val="24"/>
          <w:szCs w:val="24"/>
        </w:rPr>
        <w:t xml:space="preserve"> </w:t>
      </w:r>
      <w:r w:rsidR="00B02EA8">
        <w:rPr>
          <w:rFonts w:ascii="Rockwell" w:eastAsia="Times New Roman" w:hAnsi="Rockwell" w:cs="Times New Roman"/>
          <w:sz w:val="24"/>
          <w:szCs w:val="24"/>
        </w:rPr>
        <w:t xml:space="preserve">operations carried out offshore and on land to search for and define the extent of a mineral deposit and to determine its economic value; </w:t>
      </w:r>
      <w:r>
        <w:rPr>
          <w:rFonts w:ascii="Rockwell" w:eastAsia="Times New Roman" w:hAnsi="Rockwell" w:cs="Times New Roman"/>
          <w:sz w:val="24"/>
          <w:szCs w:val="24"/>
        </w:rPr>
        <w:t xml:space="preserve"> </w:t>
      </w:r>
    </w:p>
    <w:p w:rsid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Register</w:t>
      </w:r>
      <w:r w:rsidRPr="004A76D7">
        <w:rPr>
          <w:rFonts w:ascii="Rockwell" w:eastAsia="Times New Roman" w:hAnsi="Rockwell" w:cs="Times New Roman"/>
          <w:sz w:val="24"/>
          <w:szCs w:val="24"/>
        </w:rPr>
        <w:t xml:space="preserve"> - means a Deposit Bond Register maintain</w:t>
      </w:r>
      <w:r w:rsidR="000A38F4">
        <w:rPr>
          <w:rFonts w:ascii="Rockwell" w:eastAsia="Times New Roman" w:hAnsi="Rockwell" w:cs="Times New Roman"/>
          <w:sz w:val="24"/>
          <w:szCs w:val="24"/>
        </w:rPr>
        <w:t>ed</w:t>
      </w:r>
      <w:r w:rsidRPr="004A76D7">
        <w:rPr>
          <w:rFonts w:ascii="Rockwell" w:eastAsia="Times New Roman" w:hAnsi="Rockwell" w:cs="Times New Roman"/>
          <w:sz w:val="24"/>
          <w:szCs w:val="24"/>
        </w:rPr>
        <w:t xml:space="preserve"> pursuant to regulation 7</w:t>
      </w:r>
      <w:r w:rsidR="000A38F4">
        <w:rPr>
          <w:rFonts w:ascii="Rockwell" w:eastAsia="Times New Roman" w:hAnsi="Rockwell" w:cs="Times New Roman"/>
          <w:sz w:val="24"/>
          <w:szCs w:val="24"/>
        </w:rPr>
        <w:t xml:space="preserve"> of the Deposit Bonds Regulations</w:t>
      </w:r>
      <w:r w:rsidRPr="004A76D7">
        <w:rPr>
          <w:rFonts w:ascii="Rockwell" w:eastAsia="Times New Roman" w:hAnsi="Rockwell" w:cs="Times New Roman"/>
          <w:sz w:val="24"/>
          <w:szCs w:val="24"/>
        </w:rPr>
        <w:t>;</w:t>
      </w:r>
    </w:p>
    <w:p w:rsidR="00336533" w:rsidRPr="00336533" w:rsidRDefault="00B02EA8" w:rsidP="000E7DFC">
      <w:pPr>
        <w:spacing w:after="240" w:line="240" w:lineRule="auto"/>
        <w:jc w:val="both"/>
        <w:rPr>
          <w:rFonts w:ascii="Rockwell" w:hAnsi="Rockwell"/>
          <w:color w:val="000000"/>
          <w:sz w:val="20"/>
          <w:szCs w:val="20"/>
        </w:rPr>
      </w:pPr>
      <w:r w:rsidRPr="00845FF3">
        <w:rPr>
          <w:rFonts w:ascii="Rockwell" w:eastAsia="Times New Roman" w:hAnsi="Rockwell" w:cs="Times New Roman"/>
          <w:b/>
          <w:sz w:val="24"/>
          <w:szCs w:val="24"/>
          <w:highlight w:val="yellow"/>
        </w:rPr>
        <w:t xml:space="preserve">Rehabilitation - </w:t>
      </w:r>
      <w:r w:rsidR="0080795F" w:rsidRPr="00845FF3">
        <w:rPr>
          <w:rFonts w:ascii="Rockwell" w:eastAsia="Times New Roman" w:hAnsi="Rockwell" w:cs="Times New Roman"/>
          <w:sz w:val="24"/>
          <w:szCs w:val="24"/>
          <w:highlight w:val="yellow"/>
        </w:rPr>
        <w:t xml:space="preserve">means the process of </w:t>
      </w:r>
      <w:r w:rsidR="0080795F" w:rsidRPr="00845FF3">
        <w:rPr>
          <w:rFonts w:ascii="Rockwell" w:eastAsia="Times New Roman" w:hAnsi="Rockwell" w:cs="Times New Roman"/>
          <w:bCs/>
          <w:sz w:val="24"/>
          <w:szCs w:val="24"/>
          <w:highlight w:val="yellow"/>
        </w:rPr>
        <w:t xml:space="preserve">restoring </w:t>
      </w:r>
      <w:r w:rsidR="00336533" w:rsidRPr="00845FF3">
        <w:rPr>
          <w:rFonts w:ascii="Rockwell" w:eastAsia="Times New Roman" w:hAnsi="Rockwell" w:cs="Times New Roman"/>
          <w:bCs/>
          <w:sz w:val="24"/>
          <w:szCs w:val="24"/>
          <w:highlight w:val="yellow"/>
        </w:rPr>
        <w:t xml:space="preserve">disturbed /degraded </w:t>
      </w:r>
      <w:r w:rsidR="0080795F" w:rsidRPr="00845FF3">
        <w:rPr>
          <w:rFonts w:ascii="Rockwell" w:eastAsia="Times New Roman" w:hAnsi="Rockwell" w:cs="Times New Roman"/>
          <w:bCs/>
          <w:sz w:val="24"/>
          <w:szCs w:val="24"/>
          <w:highlight w:val="yellow"/>
        </w:rPr>
        <w:t xml:space="preserve">land by mining </w:t>
      </w:r>
      <w:r w:rsidR="00336533" w:rsidRPr="00845FF3">
        <w:rPr>
          <w:rFonts w:ascii="Rockwell" w:eastAsia="Times New Roman" w:hAnsi="Rockwell" w:cs="Times New Roman"/>
          <w:bCs/>
          <w:sz w:val="24"/>
          <w:szCs w:val="24"/>
          <w:highlight w:val="yellow"/>
        </w:rPr>
        <w:t xml:space="preserve">operations </w:t>
      </w:r>
      <w:r w:rsidR="0080795F" w:rsidRPr="00845FF3">
        <w:rPr>
          <w:rFonts w:ascii="Rockwell" w:eastAsia="Times New Roman" w:hAnsi="Rockwell" w:cs="Times New Roman"/>
          <w:bCs/>
          <w:sz w:val="24"/>
          <w:szCs w:val="24"/>
          <w:highlight w:val="yellow"/>
        </w:rPr>
        <w:t>to a stable, safe, and environmentally acceptable condition</w:t>
      </w:r>
      <w:r w:rsidR="00336533" w:rsidRPr="00845FF3">
        <w:rPr>
          <w:rFonts w:ascii="Rockwell" w:eastAsia="Times New Roman" w:hAnsi="Rockwell" w:cs="Times New Roman"/>
          <w:bCs/>
          <w:sz w:val="24"/>
          <w:szCs w:val="24"/>
          <w:highlight w:val="yellow"/>
        </w:rPr>
        <w:t xml:space="preserve">s that </w:t>
      </w:r>
      <w:r w:rsidR="00336533" w:rsidRPr="00845FF3">
        <w:rPr>
          <w:rFonts w:ascii="Rockwell" w:eastAsia="Times New Roman" w:hAnsi="Rockwell" w:cs="Times New Roman"/>
          <w:sz w:val="24"/>
          <w:szCs w:val="24"/>
          <w:highlight w:val="yellow"/>
        </w:rPr>
        <w:t>can support an agreed-upon post-mining land use activity</w:t>
      </w:r>
      <w:r w:rsidR="0080795F" w:rsidRPr="00845FF3">
        <w:rPr>
          <w:rFonts w:ascii="Rockwell" w:eastAsia="Times New Roman" w:hAnsi="Rockwell" w:cs="Times New Roman"/>
          <w:sz w:val="24"/>
          <w:szCs w:val="24"/>
          <w:highlight w:val="yellow"/>
        </w:rPr>
        <w:t>.</w:t>
      </w:r>
      <w:r w:rsidR="00336533" w:rsidRPr="00336533">
        <w:rPr>
          <w:rFonts w:ascii="Rockwell" w:hAnsi="Rockwell"/>
          <w:color w:val="000000"/>
          <w:sz w:val="20"/>
          <w:szCs w:val="20"/>
        </w:rPr>
        <w:t xml:space="preserve"> </w:t>
      </w: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lastRenderedPageBreak/>
        <w:t>Remediation</w:t>
      </w:r>
      <w:r w:rsidRPr="004A76D7">
        <w:rPr>
          <w:rFonts w:ascii="Rockwell" w:eastAsia="Times New Roman" w:hAnsi="Rockwell" w:cs="Times New Roman"/>
          <w:sz w:val="24"/>
          <w:szCs w:val="24"/>
        </w:rPr>
        <w:t xml:space="preserve"> - means rehabilitation, clean-up, restoration, post-care, maintenance and compatible after-use activities;</w:t>
      </w: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 xml:space="preserve">Restoration Fund </w:t>
      </w:r>
      <w:r w:rsidRPr="004A76D7">
        <w:rPr>
          <w:rFonts w:ascii="Rockwell" w:eastAsia="Times New Roman" w:hAnsi="Rockwell" w:cs="Times New Roman"/>
          <w:sz w:val="24"/>
          <w:szCs w:val="24"/>
        </w:rPr>
        <w:t>- means the National Environment Restoration Fund established under section 25 of the Act;</w:t>
      </w: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Small Scale Prospecting</w:t>
      </w:r>
      <w:r w:rsidRPr="004A76D7">
        <w:rPr>
          <w:rFonts w:ascii="Rockwell" w:eastAsia="Times New Roman" w:hAnsi="Rockwell" w:cs="Times New Roman"/>
          <w:sz w:val="24"/>
          <w:szCs w:val="24"/>
        </w:rPr>
        <w:t>- means the proposed prospecting Area does not exceed 25 contiguous Blocks (5.25sq Km);</w:t>
      </w: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 xml:space="preserve">Small Scale Mining </w:t>
      </w:r>
      <w:r w:rsidRPr="004A76D7">
        <w:rPr>
          <w:rFonts w:ascii="Rockwell" w:eastAsia="Times New Roman" w:hAnsi="Rockwell" w:cs="Times New Roman"/>
          <w:sz w:val="24"/>
          <w:szCs w:val="24"/>
        </w:rPr>
        <w:t>– means the proposed mining area does not exceed 2 contiguous Blocks (0.42 Sq. Km);</w:t>
      </w:r>
    </w:p>
    <w:p w:rsidR="004A76D7" w:rsidRPr="004A76D7" w:rsidRDefault="004A76D7" w:rsidP="000E7DFC">
      <w:pPr>
        <w:spacing w:after="240" w:line="240" w:lineRule="auto"/>
        <w:jc w:val="both"/>
        <w:rPr>
          <w:rFonts w:ascii="Rockwell" w:eastAsia="Times New Roman" w:hAnsi="Rockwell" w:cs="Times New Roman"/>
          <w:sz w:val="24"/>
          <w:szCs w:val="24"/>
        </w:rPr>
      </w:pPr>
      <w:r w:rsidRPr="004A76D7">
        <w:rPr>
          <w:rFonts w:ascii="Rockwell" w:eastAsia="Times New Roman" w:hAnsi="Rockwell" w:cs="Times New Roman"/>
          <w:b/>
          <w:sz w:val="24"/>
          <w:szCs w:val="24"/>
        </w:rPr>
        <w:t>Tribunal</w:t>
      </w:r>
      <w:r w:rsidRPr="004A76D7">
        <w:rPr>
          <w:rFonts w:ascii="Rockwell" w:eastAsia="Times New Roman" w:hAnsi="Rockwell" w:cs="Times New Roman"/>
          <w:sz w:val="24"/>
          <w:szCs w:val="24"/>
        </w:rPr>
        <w:t xml:space="preserve"> - means the National Environment Tribunal established under section 125 of the Act;</w:t>
      </w:r>
    </w:p>
    <w:p w:rsidR="004A76D7" w:rsidRPr="004A76D7" w:rsidRDefault="004A76D7" w:rsidP="000E7DFC">
      <w:pPr>
        <w:jc w:val="both"/>
        <w:rPr>
          <w:rFonts w:ascii="Rockwell" w:eastAsia="Times New Roman" w:hAnsi="Rockwell" w:cs="Times New Roman"/>
          <w:sz w:val="24"/>
          <w:szCs w:val="24"/>
        </w:rPr>
      </w:pPr>
    </w:p>
    <w:p w:rsidR="004A76D7" w:rsidRPr="004A76D7" w:rsidRDefault="004A76D7" w:rsidP="000E7DFC">
      <w:pPr>
        <w:jc w:val="both"/>
        <w:rPr>
          <w:rFonts w:ascii="Rockwell" w:eastAsia="Times New Roman" w:hAnsi="Rockwell" w:cs="Times New Roman"/>
          <w:sz w:val="24"/>
          <w:szCs w:val="24"/>
        </w:rPr>
      </w:pPr>
    </w:p>
    <w:p w:rsidR="004A76D7" w:rsidRPr="004A76D7" w:rsidRDefault="004A76D7" w:rsidP="000E7DFC">
      <w:pPr>
        <w:jc w:val="both"/>
        <w:rPr>
          <w:rFonts w:ascii="Rockwell" w:eastAsia="Times New Roman" w:hAnsi="Rockwell" w:cs="Times New Roman"/>
          <w:sz w:val="24"/>
          <w:szCs w:val="24"/>
        </w:rPr>
      </w:pPr>
    </w:p>
    <w:p w:rsidR="004A76D7" w:rsidRDefault="004A76D7" w:rsidP="000E7DFC">
      <w:pPr>
        <w:jc w:val="both"/>
        <w:rPr>
          <w:rFonts w:ascii="Rockwell" w:eastAsia="Times New Roman" w:hAnsi="Rockwell" w:cs="Times New Roman"/>
          <w:sz w:val="24"/>
          <w:szCs w:val="24"/>
        </w:rPr>
      </w:pPr>
    </w:p>
    <w:p w:rsidR="00152F6C" w:rsidRDefault="00152F6C"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80795F" w:rsidRDefault="0080795F" w:rsidP="000E7DFC">
      <w:pPr>
        <w:jc w:val="both"/>
        <w:rPr>
          <w:rFonts w:ascii="Rockwell" w:eastAsia="Times New Roman" w:hAnsi="Rockwell" w:cs="Times New Roman"/>
          <w:sz w:val="24"/>
          <w:szCs w:val="24"/>
        </w:rPr>
      </w:pPr>
    </w:p>
    <w:p w:rsidR="00152F6C" w:rsidRDefault="00152F6C" w:rsidP="000E7DFC">
      <w:pPr>
        <w:jc w:val="both"/>
        <w:rPr>
          <w:rFonts w:ascii="Rockwell" w:eastAsia="Times New Roman" w:hAnsi="Rockwell" w:cs="Times New Roman"/>
          <w:sz w:val="24"/>
          <w:szCs w:val="24"/>
        </w:rPr>
      </w:pPr>
    </w:p>
    <w:p w:rsidR="00152F6C" w:rsidRPr="004A76D7" w:rsidRDefault="00152F6C" w:rsidP="000E7DFC">
      <w:pPr>
        <w:jc w:val="both"/>
        <w:rPr>
          <w:rFonts w:ascii="Rockwell" w:eastAsia="Times New Roman" w:hAnsi="Rockwell" w:cs="Times New Roman"/>
          <w:sz w:val="24"/>
          <w:szCs w:val="24"/>
        </w:rPr>
      </w:pPr>
    </w:p>
    <w:p w:rsidR="004A76D7" w:rsidRPr="004A76D7" w:rsidRDefault="004A76D7" w:rsidP="000E7DFC">
      <w:pPr>
        <w:jc w:val="both"/>
        <w:rPr>
          <w:rFonts w:ascii="Rockwell" w:eastAsia="Times New Roman" w:hAnsi="Rockwell" w:cs="Times New Roman"/>
          <w:sz w:val="24"/>
          <w:szCs w:val="24"/>
        </w:rPr>
      </w:pPr>
    </w:p>
    <w:p w:rsidR="006822F2" w:rsidRPr="004A76D7" w:rsidRDefault="0056182D" w:rsidP="000E7DFC">
      <w:pPr>
        <w:pStyle w:val="Heading1"/>
        <w:jc w:val="both"/>
        <w:rPr>
          <w:rFonts w:ascii="Rockwell" w:eastAsia="Times New Roman" w:hAnsi="Rockwell" w:cs="Times New Roman"/>
          <w:b/>
          <w:sz w:val="24"/>
          <w:szCs w:val="24"/>
        </w:rPr>
      </w:pPr>
      <w:bookmarkStart w:id="5" w:name="_Toc209047093"/>
      <w:r w:rsidRPr="004A76D7">
        <w:rPr>
          <w:rFonts w:ascii="Rockwell" w:eastAsia="Times New Roman" w:hAnsi="Rockwell" w:cs="Times New Roman"/>
          <w:b/>
          <w:sz w:val="24"/>
          <w:szCs w:val="24"/>
        </w:rPr>
        <w:lastRenderedPageBreak/>
        <w:t>Chapter One</w:t>
      </w:r>
      <w:r w:rsidR="008E29E3" w:rsidRPr="004A76D7">
        <w:rPr>
          <w:rFonts w:ascii="Rockwell" w:eastAsia="Times New Roman" w:hAnsi="Rockwell" w:cs="Times New Roman"/>
          <w:b/>
          <w:sz w:val="24"/>
          <w:szCs w:val="24"/>
        </w:rPr>
        <w:t xml:space="preserve">: </w:t>
      </w:r>
      <w:r w:rsidR="00AD5D8B" w:rsidRPr="004A76D7">
        <w:rPr>
          <w:rFonts w:ascii="Rockwell" w:eastAsia="Times New Roman" w:hAnsi="Rockwell" w:cs="Times New Roman"/>
          <w:b/>
          <w:sz w:val="24"/>
          <w:szCs w:val="24"/>
        </w:rPr>
        <w:t>Introduction</w:t>
      </w:r>
      <w:bookmarkEnd w:id="5"/>
    </w:p>
    <w:p w:rsidR="006822F2" w:rsidRPr="004A76D7" w:rsidRDefault="00AD5D8B" w:rsidP="000E7DFC">
      <w:pPr>
        <w:pStyle w:val="Heading1"/>
        <w:jc w:val="both"/>
        <w:rPr>
          <w:rFonts w:ascii="Rockwell" w:eastAsia="Times New Roman" w:hAnsi="Rockwell" w:cs="Times New Roman"/>
          <w:b/>
          <w:sz w:val="24"/>
          <w:szCs w:val="24"/>
        </w:rPr>
      </w:pPr>
      <w:bookmarkStart w:id="6" w:name="_Toc209047094"/>
      <w:r w:rsidRPr="004A76D7">
        <w:rPr>
          <w:rFonts w:ascii="Rockwell" w:eastAsia="Times New Roman" w:hAnsi="Rockwell" w:cs="Times New Roman"/>
          <w:b/>
          <w:sz w:val="24"/>
          <w:szCs w:val="24"/>
        </w:rPr>
        <w:t>1.1 Background</w:t>
      </w:r>
      <w:bookmarkEnd w:id="6"/>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Kenya is rich in mineral resources with known deposits of soda ash, fluorspar, titanium, gold, coal, manganese, iron ore, gypsum, diatomite, chromite, limestone, copper and silica sand among others. Indications are that the country is potentially rich in rare earth minerals, and increased exploration is expected to lead to new mineral discoveries (GOK, 2016). Mining activity has been present in the country for over 50 years, however, the mineral exploration is still low and currently contributing about 1% of the country’s GDP. Therefore, reforms in the mining sector need to be accelerated in order to realize the full potential of the mining sector.</w:t>
      </w:r>
    </w:p>
    <w:p w:rsidR="006822F2"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Mining operations have long been essential for economic development, providing raw materials for industries, infrastructure, technologies and energy production. However, these operations can have significant negative impacts on the environment. The effects range from land degradation, abandoned mine sites, pollution of air and water resources, biodiversity loss, </w:t>
      </w:r>
      <w:r w:rsidR="005B615C" w:rsidRPr="004A76D7">
        <w:rPr>
          <w:rFonts w:ascii="Rockwell" w:eastAsia="Times New Roman" w:hAnsi="Rockwell" w:cs="Times New Roman"/>
          <w:sz w:val="24"/>
          <w:szCs w:val="24"/>
        </w:rPr>
        <w:t xml:space="preserve">human health, safety </w:t>
      </w:r>
      <w:r w:rsidRPr="004A76D7">
        <w:rPr>
          <w:rFonts w:ascii="Rockwell" w:eastAsia="Times New Roman" w:hAnsi="Rockwell" w:cs="Times New Roman"/>
          <w:sz w:val="24"/>
          <w:szCs w:val="24"/>
        </w:rPr>
        <w:t xml:space="preserve">and contribution to climate change. Understanding these impacts is crucial for finding ways to balance economic growth with environmental sustainability. </w:t>
      </w:r>
    </w:p>
    <w:p w:rsidR="00757FAB" w:rsidRPr="00845FF3" w:rsidRDefault="00336533" w:rsidP="000E7DFC">
      <w:pPr>
        <w:spacing w:before="240" w:after="160"/>
        <w:jc w:val="both"/>
        <w:rPr>
          <w:rFonts w:ascii="Rockwell" w:eastAsia="Times New Roman" w:hAnsi="Rockwell" w:cs="Times New Roman"/>
          <w:sz w:val="24"/>
          <w:szCs w:val="24"/>
          <w:highlight w:val="yellow"/>
        </w:rPr>
      </w:pPr>
      <w:r w:rsidRPr="00845FF3">
        <w:rPr>
          <w:rFonts w:ascii="Rockwell" w:eastAsia="Times New Roman" w:hAnsi="Rockwell" w:cs="Times New Roman"/>
          <w:sz w:val="24"/>
          <w:szCs w:val="24"/>
          <w:highlight w:val="yellow"/>
        </w:rPr>
        <w:t>Global de-carbonization encompasses international efforts aimed at cutting</w:t>
      </w:r>
      <w:r w:rsidR="005E37E3" w:rsidRPr="00845FF3">
        <w:rPr>
          <w:rFonts w:ascii="Rockwell" w:eastAsia="Times New Roman" w:hAnsi="Rockwell" w:cs="Times New Roman"/>
          <w:sz w:val="24"/>
          <w:szCs w:val="24"/>
          <w:highlight w:val="yellow"/>
        </w:rPr>
        <w:t xml:space="preserve"> greenhouse gas (GHG) emissions </w:t>
      </w:r>
      <w:r w:rsidRPr="00845FF3">
        <w:rPr>
          <w:rFonts w:ascii="Rockwell" w:eastAsia="Times New Roman" w:hAnsi="Rockwell" w:cs="Times New Roman"/>
          <w:sz w:val="24"/>
          <w:szCs w:val="24"/>
          <w:highlight w:val="yellow"/>
        </w:rPr>
        <w:t>particularly carbon dioxide (CO</w:t>
      </w:r>
      <w:r w:rsidRPr="00845FF3">
        <w:rPr>
          <w:rFonts w:ascii="Times New Roman" w:eastAsia="Times New Roman" w:hAnsi="Times New Roman" w:cs="Times New Roman"/>
          <w:sz w:val="24"/>
          <w:szCs w:val="24"/>
          <w:highlight w:val="yellow"/>
        </w:rPr>
        <w:t>₂</w:t>
      </w:r>
      <w:r w:rsidRPr="00845FF3">
        <w:rPr>
          <w:rFonts w:ascii="Rockwell" w:eastAsia="Times New Roman" w:hAnsi="Rockwell" w:cs="Times New Roman"/>
          <w:sz w:val="24"/>
          <w:szCs w:val="24"/>
          <w:highlight w:val="yellow"/>
        </w:rPr>
        <w:t>)</w:t>
      </w:r>
      <w:r w:rsidR="005E37E3" w:rsidRPr="00845FF3">
        <w:rPr>
          <w:rFonts w:ascii="Rockwell" w:eastAsia="Times New Roman" w:hAnsi="Rockwell" w:cs="Times New Roman"/>
          <w:sz w:val="24"/>
          <w:szCs w:val="24"/>
          <w:highlight w:val="yellow"/>
        </w:rPr>
        <w:t xml:space="preserve"> </w:t>
      </w:r>
      <w:r w:rsidRPr="00845FF3">
        <w:rPr>
          <w:rFonts w:ascii="Rockwell" w:eastAsia="Times New Roman" w:hAnsi="Rockwell" w:cs="Times New Roman"/>
          <w:sz w:val="24"/>
          <w:szCs w:val="24"/>
          <w:highlight w:val="yellow"/>
        </w:rPr>
        <w:t>to mitigate climate change. It involves shifting from fossil fuel–dependent energy and industrial systems toward low-carbon or carbon-neutral solutions, including renewable energy, improved energy efficiency, and carbon capture technologies.</w:t>
      </w:r>
    </w:p>
    <w:p w:rsidR="00336533" w:rsidRPr="004A76D7" w:rsidRDefault="005E37E3" w:rsidP="000E7DFC">
      <w:pPr>
        <w:spacing w:before="240" w:after="160"/>
        <w:jc w:val="both"/>
        <w:rPr>
          <w:rFonts w:ascii="Rockwell" w:eastAsia="Times New Roman" w:hAnsi="Rockwell" w:cs="Times New Roman"/>
          <w:sz w:val="24"/>
          <w:szCs w:val="24"/>
        </w:rPr>
      </w:pPr>
      <w:r w:rsidRPr="00845FF3">
        <w:rPr>
          <w:rFonts w:ascii="Rockwell" w:eastAsia="Times New Roman" w:hAnsi="Rockwell" w:cs="Times New Roman"/>
          <w:sz w:val="24"/>
          <w:szCs w:val="24"/>
          <w:highlight w:val="yellow"/>
        </w:rPr>
        <w:t xml:space="preserve">The </w:t>
      </w:r>
      <w:r w:rsidR="00336533" w:rsidRPr="00845FF3">
        <w:rPr>
          <w:rFonts w:ascii="Rockwell" w:eastAsia="Times New Roman" w:hAnsi="Rockwell" w:cs="Times New Roman"/>
          <w:sz w:val="24"/>
          <w:szCs w:val="24"/>
          <w:highlight w:val="yellow"/>
        </w:rPr>
        <w:t>de-carbonization efforts are driving a surge in demand for strategic minerals that are essential to the digital and clean energy transition. As countries and industries s</w:t>
      </w:r>
      <w:r w:rsidRPr="00845FF3">
        <w:rPr>
          <w:rFonts w:ascii="Rockwell" w:eastAsia="Times New Roman" w:hAnsi="Rockwell" w:cs="Times New Roman"/>
          <w:sz w:val="24"/>
          <w:szCs w:val="24"/>
          <w:highlight w:val="yellow"/>
        </w:rPr>
        <w:t xml:space="preserve">hift to low-carbon technologies </w:t>
      </w:r>
      <w:r w:rsidR="00336533" w:rsidRPr="00845FF3">
        <w:rPr>
          <w:rFonts w:ascii="Rockwell" w:eastAsia="Times New Roman" w:hAnsi="Rockwell" w:cs="Times New Roman"/>
          <w:sz w:val="24"/>
          <w:szCs w:val="24"/>
          <w:highlight w:val="yellow"/>
        </w:rPr>
        <w:t>such as renewable energy systems, electric veh</w:t>
      </w:r>
      <w:r w:rsidRPr="00845FF3">
        <w:rPr>
          <w:rFonts w:ascii="Rockwell" w:eastAsia="Times New Roman" w:hAnsi="Rockwell" w:cs="Times New Roman"/>
          <w:sz w:val="24"/>
          <w:szCs w:val="24"/>
          <w:highlight w:val="yellow"/>
        </w:rPr>
        <w:t xml:space="preserve">icles, and advanced electronics </w:t>
      </w:r>
      <w:r w:rsidR="00336533" w:rsidRPr="00845FF3">
        <w:rPr>
          <w:rFonts w:ascii="Rockwell" w:eastAsia="Times New Roman" w:hAnsi="Rockwell" w:cs="Times New Roman"/>
          <w:sz w:val="24"/>
          <w:szCs w:val="24"/>
          <w:highlight w:val="yellow"/>
        </w:rPr>
        <w:t>the need for critical resources like lithium, cobalt, nickel, copper, and rare earth elements is rapidly increasing. These minerals form the backbone of batteries, solar panels, wind turbines, and other technologies that enable a sustainable, low-emission future.</w:t>
      </w:r>
    </w:p>
    <w:p w:rsidR="006822F2" w:rsidRPr="004A76D7" w:rsidRDefault="00AD5D8B" w:rsidP="000E7DFC">
      <w:pPr>
        <w:spacing w:before="240" w:after="160"/>
        <w:jc w:val="both"/>
        <w:rPr>
          <w:rFonts w:ascii="Rockwell" w:eastAsia="Times New Roman" w:hAnsi="Rockwell" w:cs="Times New Roman"/>
          <w:color w:val="010302"/>
          <w:sz w:val="24"/>
          <w:szCs w:val="24"/>
        </w:rPr>
      </w:pPr>
      <w:r w:rsidRPr="004A76D7">
        <w:rPr>
          <w:rFonts w:ascii="Rockwell" w:eastAsia="Times New Roman" w:hAnsi="Rockwell" w:cs="Times New Roman"/>
          <w:sz w:val="24"/>
          <w:szCs w:val="24"/>
        </w:rPr>
        <w:t xml:space="preserve">Environmental best practices in the mining sector are designed to minimize environmental and social impacts, ensure mine health and safety, human rights and promote sustainable and responsible extraction of minerals and resources. These practices involve technological advancements, policy frameworks, and community engagement strategies aimed at balancing economic benefits with ecological and social responsibility. </w:t>
      </w:r>
    </w:p>
    <w:p w:rsidR="006822F2" w:rsidRPr="004A76D7" w:rsidRDefault="00AD5D8B" w:rsidP="000E7DFC">
      <w:pPr>
        <w:spacing w:after="180"/>
        <w:ind w:left="20"/>
        <w:jc w:val="both"/>
        <w:rPr>
          <w:rFonts w:ascii="Rockwell" w:eastAsia="Times New Roman" w:hAnsi="Rockwell" w:cs="Times New Roman"/>
          <w:color w:val="010302"/>
          <w:sz w:val="24"/>
          <w:szCs w:val="24"/>
        </w:rPr>
      </w:pPr>
      <w:r w:rsidRPr="004A76D7">
        <w:rPr>
          <w:rFonts w:ascii="Rockwell" w:eastAsia="Times New Roman" w:hAnsi="Rockwell" w:cs="Times New Roman"/>
          <w:color w:val="010302"/>
          <w:sz w:val="24"/>
          <w:szCs w:val="24"/>
        </w:rPr>
        <w:t xml:space="preserve">In recent years, governments in different countries have adopted strict policies, laws and regulations requiring mining companies to provide for mine closure planning and environmental financial assurance to guarantee costs of </w:t>
      </w:r>
      <w:r w:rsidR="004F0650">
        <w:rPr>
          <w:rFonts w:ascii="Rockwell" w:eastAsia="Times New Roman" w:hAnsi="Rockwell" w:cs="Times New Roman"/>
          <w:color w:val="010302"/>
          <w:sz w:val="24"/>
          <w:szCs w:val="24"/>
        </w:rPr>
        <w:t xml:space="preserve">rehabilitation </w:t>
      </w:r>
      <w:r w:rsidR="004F0650">
        <w:rPr>
          <w:rFonts w:ascii="Rockwell" w:eastAsia="Times New Roman" w:hAnsi="Rockwell" w:cs="Times New Roman"/>
          <w:color w:val="010302"/>
          <w:sz w:val="24"/>
          <w:szCs w:val="24"/>
        </w:rPr>
        <w:lastRenderedPageBreak/>
        <w:t>of</w:t>
      </w:r>
      <w:r w:rsidRPr="004A76D7">
        <w:rPr>
          <w:rFonts w:ascii="Rockwell" w:eastAsia="Times New Roman" w:hAnsi="Rockwell" w:cs="Times New Roman"/>
          <w:color w:val="010302"/>
          <w:sz w:val="24"/>
          <w:szCs w:val="24"/>
        </w:rPr>
        <w:t xml:space="preserve"> lands affected by mining. For instance, Australia, South Africa, Zambia, Botswana, Tanzania and Ghana among others have operational policies, laws and procedures for the establishment and management of rehabilitation bonds and the methods to be used in assessing rehabilitation liability for mining and extractive operations.</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In Kenya, the Government has recognized the potential that exists and has directed efforts to establish and develop the necessary legal, regulatory and institutional frameworks to govern the operations of the mining sector. This is through the enactment of the EMCA, 1999, Mining Act, Cap 306 and the various regulations therein to operationalize the Acts. The State Department for Mining regulates the exploration, mining and mineral dealing by implementing policies that will allow the country to benefit from its mineral wea</w:t>
      </w:r>
      <w:r w:rsidR="00C952E3" w:rsidRPr="004A76D7">
        <w:rPr>
          <w:rFonts w:ascii="Rockwell" w:eastAsia="Times New Roman" w:hAnsi="Rockwell" w:cs="Times New Roman"/>
          <w:sz w:val="24"/>
          <w:szCs w:val="24"/>
        </w:rPr>
        <w:t>lth while National Environment</w:t>
      </w:r>
      <w:r w:rsidRPr="004A76D7">
        <w:rPr>
          <w:rFonts w:ascii="Rockwell" w:eastAsia="Times New Roman" w:hAnsi="Rockwell" w:cs="Times New Roman"/>
          <w:sz w:val="24"/>
          <w:szCs w:val="24"/>
        </w:rPr>
        <w:t xml:space="preserve"> Management Authority (NEMA) regulates the environmental aspects related to exploration, mining and mineral processing.</w:t>
      </w:r>
    </w:p>
    <w:p w:rsidR="006822F2" w:rsidRPr="004A76D7" w:rsidRDefault="00AD5D8B" w:rsidP="000E7DFC">
      <w:pPr>
        <w:spacing w:after="180"/>
        <w:ind w:left="2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Despite the existence of the various environmental and mining laws, there is still a gap in the mining sector especially on the mine site closure, </w:t>
      </w:r>
      <w:r w:rsidR="005B615C" w:rsidRPr="004A76D7">
        <w:rPr>
          <w:rFonts w:ascii="Rockwell" w:eastAsia="Times New Roman" w:hAnsi="Rockwell" w:cs="Times New Roman"/>
          <w:sz w:val="24"/>
          <w:szCs w:val="24"/>
        </w:rPr>
        <w:t>decommissioning, rehabilitation, progressive remediation and monitoring during and</w:t>
      </w:r>
      <w:r w:rsidRPr="004A76D7">
        <w:rPr>
          <w:rFonts w:ascii="Rockwell" w:eastAsia="Times New Roman" w:hAnsi="Rockwell" w:cs="Times New Roman"/>
          <w:sz w:val="24"/>
          <w:szCs w:val="24"/>
        </w:rPr>
        <w:t xml:space="preserve"> </w:t>
      </w:r>
      <w:r w:rsidR="005B615C" w:rsidRPr="004A76D7">
        <w:rPr>
          <w:rFonts w:ascii="Rockwell" w:eastAsia="Times New Roman" w:hAnsi="Rockwell" w:cs="Times New Roman"/>
          <w:sz w:val="24"/>
          <w:szCs w:val="24"/>
        </w:rPr>
        <w:t xml:space="preserve">post closure activities of the </w:t>
      </w:r>
      <w:r w:rsidRPr="004A76D7">
        <w:rPr>
          <w:rFonts w:ascii="Rockwell" w:eastAsia="Times New Roman" w:hAnsi="Rockwell" w:cs="Times New Roman"/>
          <w:sz w:val="24"/>
          <w:szCs w:val="24"/>
        </w:rPr>
        <w:t>mines</w:t>
      </w:r>
      <w:r w:rsidR="005B615C"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 xml:space="preserve"> </w:t>
      </w:r>
      <w:r w:rsidR="005B615C" w:rsidRPr="004A76D7">
        <w:rPr>
          <w:rFonts w:ascii="Rockwell" w:eastAsia="Times New Roman" w:hAnsi="Rockwell" w:cs="Times New Roman"/>
          <w:sz w:val="24"/>
          <w:szCs w:val="24"/>
        </w:rPr>
        <w:t>This has resulted in e</w:t>
      </w:r>
      <w:r w:rsidRPr="004A76D7">
        <w:rPr>
          <w:rFonts w:ascii="Rockwell" w:eastAsia="Times New Roman" w:hAnsi="Rockwell" w:cs="Times New Roman"/>
          <w:sz w:val="24"/>
          <w:szCs w:val="24"/>
        </w:rPr>
        <w:t xml:space="preserve">nvironmental degradation and endangerment of public health. These can be attributed to the </w:t>
      </w:r>
      <w:r w:rsidR="00C952E3" w:rsidRPr="004A76D7">
        <w:rPr>
          <w:rFonts w:ascii="Rockwell" w:eastAsia="Times New Roman" w:hAnsi="Rockwell" w:cs="Times New Roman"/>
          <w:sz w:val="24"/>
          <w:szCs w:val="24"/>
        </w:rPr>
        <w:t xml:space="preserve">non-operationalization of the </w:t>
      </w:r>
      <w:r w:rsidRPr="004A76D7">
        <w:rPr>
          <w:rFonts w:ascii="Rockwell" w:eastAsia="Times New Roman" w:hAnsi="Rockwell" w:cs="Times New Roman"/>
          <w:sz w:val="24"/>
          <w:szCs w:val="24"/>
        </w:rPr>
        <w:t xml:space="preserve">environmental financial assurance and bonding mechanisms that ensures that mining operators are held financially accountable for environmental damage they may cause. </w:t>
      </w:r>
    </w:p>
    <w:p w:rsidR="006822F2" w:rsidRPr="004A76D7" w:rsidRDefault="00AD5D8B" w:rsidP="000E7DFC">
      <w:pPr>
        <w:spacing w:after="180"/>
        <w:ind w:left="20"/>
        <w:jc w:val="both"/>
        <w:rPr>
          <w:rFonts w:ascii="Rockwell" w:eastAsia="Times New Roman" w:hAnsi="Rockwell" w:cs="Times New Roman"/>
          <w:sz w:val="24"/>
          <w:szCs w:val="24"/>
          <w:highlight w:val="yellow"/>
        </w:rPr>
      </w:pPr>
      <w:r w:rsidRPr="004A76D7">
        <w:rPr>
          <w:rFonts w:ascii="Rockwell" w:eastAsia="Times New Roman" w:hAnsi="Rockwell" w:cs="Times New Roman"/>
          <w:sz w:val="24"/>
          <w:szCs w:val="24"/>
        </w:rPr>
        <w:t xml:space="preserve">Bonding is a mechanism for enforcing contractual and regulatory provisions in instances where the mining operator fails to comply with established environmental and mining laws. The bonding amount is available to </w:t>
      </w:r>
      <w:r w:rsidR="00C952E3" w:rsidRPr="004A76D7">
        <w:rPr>
          <w:rFonts w:ascii="Rockwell" w:eastAsia="Times New Roman" w:hAnsi="Rockwell" w:cs="Times New Roman"/>
          <w:sz w:val="24"/>
          <w:szCs w:val="24"/>
        </w:rPr>
        <w:t>guarantee good environmental performance</w:t>
      </w:r>
      <w:r w:rsidR="005B615C" w:rsidRPr="004A76D7">
        <w:rPr>
          <w:rFonts w:ascii="Rockwell" w:eastAsia="Times New Roman" w:hAnsi="Rockwell" w:cs="Times New Roman"/>
          <w:sz w:val="24"/>
          <w:szCs w:val="24"/>
        </w:rPr>
        <w:t xml:space="preserve"> by the operator</w:t>
      </w:r>
      <w:r w:rsidR="00C952E3" w:rsidRPr="004A76D7">
        <w:rPr>
          <w:rFonts w:ascii="Rockwell" w:eastAsia="Times New Roman" w:hAnsi="Rockwell" w:cs="Times New Roman"/>
          <w:sz w:val="24"/>
          <w:szCs w:val="24"/>
        </w:rPr>
        <w:t xml:space="preserve"> </w:t>
      </w:r>
      <w:r w:rsidR="005B615C" w:rsidRPr="004A76D7">
        <w:rPr>
          <w:rFonts w:ascii="Rockwell" w:eastAsia="Times New Roman" w:hAnsi="Rockwell" w:cs="Times New Roman"/>
          <w:sz w:val="24"/>
          <w:szCs w:val="24"/>
        </w:rPr>
        <w:t>and to facilitate</w:t>
      </w:r>
      <w:r w:rsidR="00C952E3" w:rsidRPr="004A76D7">
        <w:rPr>
          <w:rFonts w:ascii="Rockwell" w:eastAsia="Times New Roman" w:hAnsi="Rockwell" w:cs="Times New Roman"/>
          <w:sz w:val="24"/>
          <w:szCs w:val="24"/>
        </w:rPr>
        <w:t xml:space="preserve"> the regulator </w:t>
      </w:r>
      <w:r w:rsidR="005B615C" w:rsidRPr="004A76D7">
        <w:rPr>
          <w:rFonts w:ascii="Rockwell" w:eastAsia="Times New Roman" w:hAnsi="Rockwell" w:cs="Times New Roman"/>
          <w:sz w:val="24"/>
          <w:szCs w:val="24"/>
        </w:rPr>
        <w:t xml:space="preserve">in </w:t>
      </w:r>
      <w:r w:rsidRPr="004A76D7">
        <w:rPr>
          <w:rFonts w:ascii="Rockwell" w:eastAsia="Times New Roman" w:hAnsi="Rockwell" w:cs="Times New Roman"/>
          <w:sz w:val="24"/>
          <w:szCs w:val="24"/>
        </w:rPr>
        <w:t xml:space="preserve">improving and mitigating the environmental degradation </w:t>
      </w:r>
      <w:r w:rsidR="00C952E3" w:rsidRPr="004A76D7">
        <w:rPr>
          <w:rFonts w:ascii="Rockwell" w:eastAsia="Times New Roman" w:hAnsi="Rockwell" w:cs="Times New Roman"/>
          <w:sz w:val="24"/>
          <w:szCs w:val="24"/>
        </w:rPr>
        <w:t>in cases of abandoned mine sites</w:t>
      </w:r>
      <w:r w:rsidRPr="004A76D7">
        <w:rPr>
          <w:rFonts w:ascii="Rockwell" w:eastAsia="Times New Roman" w:hAnsi="Rockwell" w:cs="Times New Roman"/>
          <w:sz w:val="24"/>
          <w:szCs w:val="24"/>
        </w:rPr>
        <w:t>.</w:t>
      </w:r>
    </w:p>
    <w:p w:rsidR="006822F2" w:rsidRDefault="00AD5D8B" w:rsidP="000E7DFC">
      <w:pPr>
        <w:spacing w:after="180"/>
        <w:ind w:left="20"/>
        <w:jc w:val="both"/>
        <w:rPr>
          <w:rFonts w:ascii="Rockwell" w:eastAsia="Times New Roman" w:hAnsi="Rockwell" w:cs="Times New Roman"/>
          <w:sz w:val="24"/>
          <w:szCs w:val="24"/>
        </w:rPr>
      </w:pPr>
      <w:r w:rsidRPr="006C7AC0">
        <w:rPr>
          <w:rFonts w:ascii="Rockwell" w:eastAsia="Times New Roman" w:hAnsi="Rockwell" w:cs="Times New Roman"/>
          <w:sz w:val="24"/>
          <w:szCs w:val="24"/>
          <w:highlight w:val="yellow"/>
        </w:rPr>
        <w:t>The National Environment Management Authority (NEMA) has formul</w:t>
      </w:r>
      <w:r w:rsidR="00C952E3" w:rsidRPr="006C7AC0">
        <w:rPr>
          <w:rFonts w:ascii="Rockwell" w:eastAsia="Times New Roman" w:hAnsi="Rockwell" w:cs="Times New Roman"/>
          <w:sz w:val="24"/>
          <w:szCs w:val="24"/>
          <w:highlight w:val="yellow"/>
        </w:rPr>
        <w:t xml:space="preserve">ated the National Guidelines on Environmental </w:t>
      </w:r>
      <w:r w:rsidRPr="006C7AC0">
        <w:rPr>
          <w:rFonts w:ascii="Rockwell" w:eastAsia="Times New Roman" w:hAnsi="Rockwell" w:cs="Times New Roman"/>
          <w:sz w:val="24"/>
          <w:szCs w:val="24"/>
          <w:highlight w:val="yellow"/>
        </w:rPr>
        <w:t>Deposits Bonds for the Mining Sector in Kenya to ensure proper mine site closure, decommissioning and rehabilitation.</w:t>
      </w:r>
      <w:r w:rsidRPr="004A76D7">
        <w:rPr>
          <w:rFonts w:ascii="Rockwell" w:eastAsia="Times New Roman" w:hAnsi="Rockwell" w:cs="Times New Roman"/>
          <w:sz w:val="24"/>
          <w:szCs w:val="24"/>
        </w:rPr>
        <w:t xml:space="preserve">  </w:t>
      </w:r>
    </w:p>
    <w:p w:rsidR="006822F2" w:rsidRPr="004A76D7" w:rsidRDefault="00AD5D8B" w:rsidP="000E7DFC">
      <w:pPr>
        <w:pStyle w:val="Heading1"/>
        <w:jc w:val="both"/>
        <w:rPr>
          <w:rFonts w:ascii="Rockwell" w:eastAsia="Times New Roman" w:hAnsi="Rockwell" w:cs="Times New Roman"/>
          <w:b/>
          <w:sz w:val="24"/>
          <w:szCs w:val="24"/>
        </w:rPr>
      </w:pPr>
      <w:bookmarkStart w:id="7" w:name="_Toc209047095"/>
      <w:r w:rsidRPr="004A76D7">
        <w:rPr>
          <w:rFonts w:ascii="Rockwell" w:eastAsia="Times New Roman" w:hAnsi="Rockwell" w:cs="Times New Roman"/>
          <w:b/>
          <w:sz w:val="24"/>
          <w:szCs w:val="24"/>
        </w:rPr>
        <w:t>1.2 Rationale</w:t>
      </w:r>
      <w:bookmarkEnd w:id="7"/>
      <w:r w:rsidRPr="004A76D7">
        <w:rPr>
          <w:rFonts w:ascii="Rockwell" w:eastAsia="Times New Roman" w:hAnsi="Rockwell" w:cs="Times New Roman"/>
          <w:b/>
          <w:sz w:val="24"/>
          <w:szCs w:val="24"/>
        </w:rPr>
        <w:t xml:space="preserve"> </w:t>
      </w:r>
    </w:p>
    <w:p w:rsidR="00F32763" w:rsidRPr="00F32763" w:rsidRDefault="00F32763" w:rsidP="00F32763">
      <w:pPr>
        <w:spacing w:after="100" w:afterAutospacing="1"/>
        <w:jc w:val="both"/>
        <w:rPr>
          <w:rFonts w:ascii="Rockwell" w:eastAsia="Times New Roman" w:hAnsi="Rockwell" w:cs="Times New Roman"/>
          <w:sz w:val="24"/>
          <w:szCs w:val="24"/>
        </w:rPr>
      </w:pPr>
      <w:r w:rsidRPr="00F32763">
        <w:rPr>
          <w:rFonts w:ascii="Rockwell" w:eastAsia="Times New Roman" w:hAnsi="Rockwell" w:cs="Times New Roman"/>
          <w:sz w:val="24"/>
          <w:szCs w:val="24"/>
        </w:rPr>
        <w:t xml:space="preserve">The Mining Act, CAP 306, section 181 (1), provides for the establishment of an environmental protection bond sufficient to cover the costs associated with the implementation of environmental and rehabilitation obligations of the mineral right holder. Similarly, the Environmental Management and Coordination Act, CAP 387, section 28, provides for the need for regulated entities to have an environmental deposit bond for activities that are detrimental to the environment. To operationalize these provisions, the Environmental Management and Coordination (Deposit Bonds) Regulations, 2024 were developed to establish clear procedures </w:t>
      </w:r>
      <w:r w:rsidRPr="00F32763">
        <w:rPr>
          <w:rFonts w:ascii="Rockwell" w:eastAsia="Times New Roman" w:hAnsi="Rockwell" w:cs="Times New Roman"/>
          <w:sz w:val="24"/>
          <w:szCs w:val="24"/>
        </w:rPr>
        <w:lastRenderedPageBreak/>
        <w:t xml:space="preserve">for the determination, management, review, refund, and confiscation of environmental deposit bonds in </w:t>
      </w:r>
      <w:r w:rsidRPr="00751E2F">
        <w:rPr>
          <w:rFonts w:ascii="Rockwell" w:eastAsia="Times New Roman" w:hAnsi="Rockwell" w:cs="Times New Roman"/>
          <w:sz w:val="24"/>
          <w:szCs w:val="24"/>
          <w:highlight w:val="yellow"/>
        </w:rPr>
        <w:t>Kenya’s mining sector.</w:t>
      </w:r>
    </w:p>
    <w:p w:rsidR="00F32763" w:rsidRPr="00F32763" w:rsidRDefault="00F32763" w:rsidP="00F32763">
      <w:pPr>
        <w:spacing w:after="100" w:afterAutospacing="1"/>
        <w:jc w:val="both"/>
        <w:rPr>
          <w:rFonts w:ascii="Rockwell" w:eastAsia="Times New Roman" w:hAnsi="Rockwell" w:cs="Times New Roman"/>
          <w:sz w:val="24"/>
          <w:szCs w:val="24"/>
        </w:rPr>
      </w:pPr>
      <w:r w:rsidRPr="00F32763">
        <w:rPr>
          <w:rFonts w:ascii="Rockwell" w:eastAsia="Times New Roman" w:hAnsi="Rockwell" w:cs="Times New Roman"/>
          <w:sz w:val="24"/>
          <w:szCs w:val="24"/>
        </w:rPr>
        <w:t>Despite the existence of these legal provisions, the implementation of environmental deposit bonds has been limited. This has contributed to widespread challenges in mine closure, decommissioning, rehabilitation, progressive remediation, and post-closure monitoring. Surrende</w:t>
      </w:r>
      <w:r>
        <w:rPr>
          <w:rFonts w:ascii="Rockwell" w:eastAsia="Times New Roman" w:hAnsi="Rockwell" w:cs="Times New Roman"/>
          <w:sz w:val="24"/>
          <w:szCs w:val="24"/>
        </w:rPr>
        <w:t>re</w:t>
      </w:r>
      <w:r w:rsidRPr="00F32763">
        <w:rPr>
          <w:rFonts w:ascii="Rockwell" w:eastAsia="Times New Roman" w:hAnsi="Rockwell" w:cs="Times New Roman"/>
          <w:sz w:val="24"/>
          <w:szCs w:val="24"/>
        </w:rPr>
        <w:t xml:space="preserve">d mine site, such as fluorspar mines in </w:t>
      </w:r>
      <w:proofErr w:type="spellStart"/>
      <w:r w:rsidRPr="00F32763">
        <w:rPr>
          <w:rFonts w:ascii="Rockwell" w:eastAsia="Times New Roman" w:hAnsi="Rockwell" w:cs="Times New Roman"/>
          <w:sz w:val="24"/>
          <w:szCs w:val="24"/>
        </w:rPr>
        <w:t>Kerio</w:t>
      </w:r>
      <w:proofErr w:type="spellEnd"/>
      <w:r w:rsidRPr="00F32763">
        <w:rPr>
          <w:rFonts w:ascii="Rockwell" w:eastAsia="Times New Roman" w:hAnsi="Rockwell" w:cs="Times New Roman"/>
          <w:sz w:val="24"/>
          <w:szCs w:val="24"/>
        </w:rPr>
        <w:t xml:space="preserve"> Valley, and abandoned sites, such as </w:t>
      </w:r>
      <w:proofErr w:type="spellStart"/>
      <w:r w:rsidRPr="00F32763">
        <w:rPr>
          <w:rFonts w:ascii="Rockwell" w:eastAsia="Times New Roman" w:hAnsi="Rockwell" w:cs="Times New Roman"/>
          <w:sz w:val="24"/>
          <w:szCs w:val="24"/>
        </w:rPr>
        <w:t>Macalder</w:t>
      </w:r>
      <w:proofErr w:type="spellEnd"/>
      <w:r w:rsidRPr="00F32763">
        <w:rPr>
          <w:rFonts w:ascii="Rockwell" w:eastAsia="Times New Roman" w:hAnsi="Rockwell" w:cs="Times New Roman"/>
          <w:sz w:val="24"/>
          <w:szCs w:val="24"/>
        </w:rPr>
        <w:t xml:space="preserve"> gold mines in </w:t>
      </w:r>
      <w:proofErr w:type="spellStart"/>
      <w:r w:rsidRPr="00F32763">
        <w:rPr>
          <w:rFonts w:ascii="Rockwell" w:eastAsia="Times New Roman" w:hAnsi="Rockwell" w:cs="Times New Roman"/>
          <w:sz w:val="24"/>
          <w:szCs w:val="24"/>
        </w:rPr>
        <w:t>Migori</w:t>
      </w:r>
      <w:proofErr w:type="spellEnd"/>
      <w:r w:rsidRPr="00F32763">
        <w:rPr>
          <w:rFonts w:ascii="Rockwell" w:eastAsia="Times New Roman" w:hAnsi="Rockwell" w:cs="Times New Roman"/>
          <w:sz w:val="24"/>
          <w:szCs w:val="24"/>
        </w:rPr>
        <w:t>, and other artisanal and small-scale gold mines demonstrate the environmental and social risks that arise when financial assurance mechanisms are absent. These sites have resulted in land degradation, contaminated water sources, biodiversity loss, and public health concerns for surrounding communities.</w:t>
      </w:r>
    </w:p>
    <w:p w:rsidR="00F32763" w:rsidRPr="00F32763" w:rsidRDefault="00F32763" w:rsidP="00F32763">
      <w:pPr>
        <w:spacing w:after="100" w:afterAutospacing="1"/>
        <w:jc w:val="both"/>
        <w:rPr>
          <w:rFonts w:ascii="Rockwell" w:eastAsia="Times New Roman" w:hAnsi="Rockwell" w:cs="Times New Roman"/>
          <w:sz w:val="24"/>
          <w:szCs w:val="24"/>
        </w:rPr>
      </w:pPr>
      <w:r w:rsidRPr="00F32763">
        <w:rPr>
          <w:rFonts w:ascii="Rockwell" w:eastAsia="Times New Roman" w:hAnsi="Rockwell" w:cs="Times New Roman"/>
          <w:sz w:val="24"/>
          <w:szCs w:val="24"/>
        </w:rPr>
        <w:t>International experience has shown that environmental financial assurance mechanisms, such as rehabilitation bonds, are effective in ensuring mining companies remain financially accountable for environmental impacts. Countries such as Ghana, South Africa, Tanzania, and Australia have successfully integrated such mechanisms, creating a framework where operators are required to provide upfront financial guarantees for mine rehabilitation and closure. Kenya’s adoption of a similar system is therefore critical to bridging the policy and implementation gap.</w:t>
      </w:r>
    </w:p>
    <w:p w:rsidR="00F32763" w:rsidRPr="00F32763" w:rsidRDefault="00F32763" w:rsidP="00F32763">
      <w:pPr>
        <w:spacing w:after="100" w:afterAutospacing="1"/>
        <w:jc w:val="both"/>
        <w:rPr>
          <w:rFonts w:ascii="Rockwell" w:eastAsia="Times New Roman" w:hAnsi="Rockwell" w:cs="Times New Roman"/>
          <w:sz w:val="24"/>
          <w:szCs w:val="24"/>
        </w:rPr>
      </w:pPr>
      <w:r w:rsidRPr="00F32763">
        <w:rPr>
          <w:rFonts w:ascii="Rockwell" w:eastAsia="Times New Roman" w:hAnsi="Rockwell" w:cs="Times New Roman"/>
          <w:sz w:val="24"/>
          <w:szCs w:val="24"/>
        </w:rPr>
        <w:t>The Deposit Bond mechanism in Kenya is designed to:</w:t>
      </w:r>
    </w:p>
    <w:p w:rsidR="00F32763" w:rsidRPr="00F32763" w:rsidRDefault="00F32763" w:rsidP="00F32763">
      <w:pPr>
        <w:numPr>
          <w:ilvl w:val="0"/>
          <w:numId w:val="31"/>
        </w:numPr>
        <w:tabs>
          <w:tab w:val="left" w:pos="720"/>
        </w:tabs>
        <w:spacing w:before="100" w:beforeAutospacing="1" w:after="100" w:afterAutospacing="1"/>
        <w:jc w:val="both"/>
        <w:rPr>
          <w:rFonts w:ascii="Rockwell" w:eastAsia="Times New Roman" w:hAnsi="Rockwell" w:cs="Times New Roman"/>
          <w:sz w:val="24"/>
          <w:szCs w:val="24"/>
        </w:rPr>
      </w:pPr>
      <w:r w:rsidRPr="00F32763">
        <w:rPr>
          <w:rFonts w:ascii="Rockwell" w:eastAsia="Times New Roman" w:hAnsi="Rockwell" w:cs="Times New Roman"/>
          <w:sz w:val="24"/>
          <w:szCs w:val="24"/>
        </w:rPr>
        <w:t>Ensure that mining operators are financially accountable for any environmental damage caused by their operations.</w:t>
      </w:r>
    </w:p>
    <w:p w:rsidR="00F32763" w:rsidRPr="00F32763" w:rsidRDefault="00F32763" w:rsidP="00F32763">
      <w:pPr>
        <w:numPr>
          <w:ilvl w:val="0"/>
          <w:numId w:val="31"/>
        </w:numPr>
        <w:tabs>
          <w:tab w:val="left" w:pos="720"/>
        </w:tabs>
        <w:spacing w:before="100" w:beforeAutospacing="1" w:after="100" w:afterAutospacing="1"/>
        <w:jc w:val="both"/>
        <w:rPr>
          <w:rFonts w:ascii="Rockwell" w:eastAsia="Times New Roman" w:hAnsi="Rockwell" w:cs="Times New Roman"/>
          <w:sz w:val="24"/>
          <w:szCs w:val="24"/>
        </w:rPr>
      </w:pPr>
      <w:r w:rsidRPr="00F32763">
        <w:rPr>
          <w:rFonts w:ascii="Rockwell" w:eastAsia="Times New Roman" w:hAnsi="Rockwell" w:cs="Times New Roman"/>
          <w:sz w:val="24"/>
          <w:szCs w:val="24"/>
        </w:rPr>
        <w:t>Provide regulators with a reliable financial instrument to undertake remediation in cases where operators default or abandon mine sites.</w:t>
      </w:r>
    </w:p>
    <w:p w:rsidR="00F32763" w:rsidRPr="00F32763" w:rsidRDefault="00F32763" w:rsidP="00F32763">
      <w:pPr>
        <w:numPr>
          <w:ilvl w:val="0"/>
          <w:numId w:val="31"/>
        </w:numPr>
        <w:tabs>
          <w:tab w:val="left" w:pos="720"/>
        </w:tabs>
        <w:spacing w:before="100" w:beforeAutospacing="1" w:after="100" w:afterAutospacing="1"/>
        <w:jc w:val="both"/>
        <w:rPr>
          <w:rFonts w:ascii="Rockwell" w:eastAsia="Times New Roman" w:hAnsi="Rockwell" w:cs="Times New Roman"/>
          <w:sz w:val="24"/>
          <w:szCs w:val="24"/>
        </w:rPr>
      </w:pPr>
      <w:r w:rsidRPr="00F32763">
        <w:rPr>
          <w:rFonts w:ascii="Rockwell" w:eastAsia="Times New Roman" w:hAnsi="Rockwell" w:cs="Times New Roman"/>
          <w:sz w:val="24"/>
          <w:szCs w:val="24"/>
        </w:rPr>
        <w:t>Safeguard communities and ecosystems by ensuring that closure and rehabilitation activities are adequately financed and implemented.</w:t>
      </w:r>
    </w:p>
    <w:p w:rsidR="00F32763" w:rsidRPr="00F32763" w:rsidRDefault="00F32763" w:rsidP="00F32763">
      <w:pPr>
        <w:spacing w:after="100" w:afterAutospacing="1"/>
        <w:jc w:val="both"/>
        <w:rPr>
          <w:rFonts w:ascii="Rockwell" w:eastAsia="Times New Roman" w:hAnsi="Rockwell" w:cs="Times New Roman"/>
          <w:sz w:val="24"/>
          <w:szCs w:val="24"/>
        </w:rPr>
      </w:pPr>
      <w:r w:rsidRPr="00F32763">
        <w:rPr>
          <w:rFonts w:ascii="Rockwell" w:eastAsia="Times New Roman" w:hAnsi="Rockwell" w:cs="Times New Roman"/>
          <w:sz w:val="24"/>
          <w:szCs w:val="24"/>
        </w:rPr>
        <w:t xml:space="preserve">The National Guidelines on Environmental Deposit Bonds for the Mining Sector will complement the Regulations by providing sector-specific guidance on remediation standards, liability estimation methods, </w:t>
      </w:r>
      <w:proofErr w:type="gramStart"/>
      <w:r w:rsidRPr="00F32763">
        <w:rPr>
          <w:rFonts w:ascii="Rockwell" w:eastAsia="Times New Roman" w:hAnsi="Rockwell" w:cs="Times New Roman"/>
          <w:sz w:val="24"/>
          <w:szCs w:val="24"/>
        </w:rPr>
        <w:t>procedural</w:t>
      </w:r>
      <w:proofErr w:type="gramEnd"/>
      <w:r w:rsidRPr="00F32763">
        <w:rPr>
          <w:rFonts w:ascii="Rockwell" w:eastAsia="Times New Roman" w:hAnsi="Rockwell" w:cs="Times New Roman"/>
          <w:sz w:val="24"/>
          <w:szCs w:val="24"/>
        </w:rPr>
        <w:t xml:space="preserve"> steps for bond determination, review, refund, confiscation, and assessment of post-remediation conditions. They will also promote transparency, community engagement, and alignment with Kenya’s Vision 2030, the Sustainable Development Goals (notably SDGs 12 and 15), and evolving best practices in sustainable resource management.</w:t>
      </w:r>
    </w:p>
    <w:p w:rsidR="006822F2" w:rsidRPr="004A76D7" w:rsidRDefault="00AD5D8B" w:rsidP="000E7DFC">
      <w:pPr>
        <w:pStyle w:val="Heading1"/>
        <w:jc w:val="both"/>
        <w:rPr>
          <w:rFonts w:ascii="Rockwell" w:eastAsia="Times New Roman" w:hAnsi="Rockwell" w:cs="Times New Roman"/>
          <w:b/>
          <w:sz w:val="24"/>
          <w:szCs w:val="24"/>
        </w:rPr>
      </w:pPr>
      <w:bookmarkStart w:id="8" w:name="_Toc209047096"/>
      <w:r w:rsidRPr="004A76D7">
        <w:rPr>
          <w:rFonts w:ascii="Rockwell" w:eastAsia="Times New Roman" w:hAnsi="Rockwell" w:cs="Times New Roman"/>
          <w:b/>
          <w:sz w:val="24"/>
          <w:szCs w:val="24"/>
        </w:rPr>
        <w:t>1.3 Objectives</w:t>
      </w:r>
      <w:bookmarkEnd w:id="8"/>
    </w:p>
    <w:p w:rsidR="006822F2" w:rsidRPr="004A76D7" w:rsidRDefault="00CC05A8"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The overall</w:t>
      </w:r>
      <w:r w:rsidR="00AD5D8B" w:rsidRPr="004A76D7">
        <w:rPr>
          <w:rFonts w:ascii="Rockwell" w:eastAsia="Times New Roman" w:hAnsi="Rockwell" w:cs="Times New Roman"/>
          <w:sz w:val="24"/>
          <w:szCs w:val="24"/>
        </w:rPr>
        <w:t xml:space="preserve"> objective of these guidelines is to develop </w:t>
      </w:r>
      <w:r w:rsidRPr="004A76D7">
        <w:rPr>
          <w:rFonts w:ascii="Rockwell" w:eastAsia="Times New Roman" w:hAnsi="Rockwell" w:cs="Times New Roman"/>
          <w:sz w:val="24"/>
          <w:szCs w:val="24"/>
        </w:rPr>
        <w:t xml:space="preserve">sector specific remediation standards and guidance </w:t>
      </w:r>
      <w:r w:rsidR="00AD5D8B" w:rsidRPr="004A76D7">
        <w:rPr>
          <w:rFonts w:ascii="Rockwell" w:eastAsia="Times New Roman" w:hAnsi="Rockwell" w:cs="Times New Roman"/>
          <w:sz w:val="24"/>
          <w:szCs w:val="24"/>
        </w:rPr>
        <w:t>rates that will be used to calculate, determine and reassess the amount of the deposit bond payable in the mining sector.</w:t>
      </w:r>
    </w:p>
    <w:p w:rsidR="006822F2" w:rsidRPr="004A76D7" w:rsidRDefault="00AD5D8B"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lastRenderedPageBreak/>
        <w:t>Specific objectives of the guidelines are;</w:t>
      </w:r>
    </w:p>
    <w:p w:rsidR="006822F2" w:rsidRPr="004A76D7" w:rsidRDefault="00AD5D8B" w:rsidP="000E7DFC">
      <w:pPr>
        <w:numPr>
          <w:ilvl w:val="0"/>
          <w:numId w:val="1"/>
        </w:numPr>
        <w:spacing w:before="240"/>
        <w:jc w:val="both"/>
        <w:rPr>
          <w:rFonts w:ascii="Rockwell" w:hAnsi="Rockwell"/>
          <w:sz w:val="24"/>
          <w:szCs w:val="24"/>
        </w:rPr>
      </w:pPr>
      <w:r w:rsidRPr="004A76D7">
        <w:rPr>
          <w:rFonts w:ascii="Rockwell" w:eastAsia="Times New Roman" w:hAnsi="Rockwell" w:cs="Times New Roman"/>
          <w:sz w:val="24"/>
          <w:szCs w:val="24"/>
        </w:rPr>
        <w:t xml:space="preserve">To provide </w:t>
      </w:r>
      <w:r w:rsidR="00CC05A8" w:rsidRPr="004A76D7">
        <w:rPr>
          <w:rFonts w:ascii="Rockwell" w:eastAsia="Times New Roman" w:hAnsi="Rockwell" w:cs="Times New Roman"/>
          <w:sz w:val="24"/>
          <w:szCs w:val="24"/>
        </w:rPr>
        <w:t xml:space="preserve">guidance on sector specific remediation standards or return to viable compatible use of a mined site. </w:t>
      </w:r>
    </w:p>
    <w:p w:rsidR="00CC05A8" w:rsidRPr="004A76D7" w:rsidRDefault="00AD5D8B" w:rsidP="000E7DFC">
      <w:pPr>
        <w:numPr>
          <w:ilvl w:val="0"/>
          <w:numId w:val="1"/>
        </w:numPr>
        <w:jc w:val="both"/>
        <w:rPr>
          <w:rFonts w:ascii="Rockwell" w:hAnsi="Rockwell"/>
          <w:sz w:val="24"/>
          <w:szCs w:val="24"/>
        </w:rPr>
      </w:pPr>
      <w:r w:rsidRPr="004A76D7">
        <w:rPr>
          <w:rFonts w:ascii="Rockwell" w:eastAsia="Times New Roman" w:hAnsi="Rockwell" w:cs="Times New Roman"/>
          <w:sz w:val="24"/>
          <w:szCs w:val="24"/>
        </w:rPr>
        <w:t>To Provide</w:t>
      </w:r>
      <w:r w:rsidR="00CC05A8" w:rsidRPr="004A76D7">
        <w:rPr>
          <w:rFonts w:ascii="Rockwell" w:eastAsia="Times New Roman" w:hAnsi="Rockwell" w:cs="Times New Roman"/>
          <w:sz w:val="24"/>
          <w:szCs w:val="24"/>
        </w:rPr>
        <w:t xml:space="preserve"> remediation liability estimation methods and guidance rate that can be used to calculate, determine and reassess the amount of t</w:t>
      </w:r>
      <w:r w:rsidR="009841AC" w:rsidRPr="004A76D7">
        <w:rPr>
          <w:rFonts w:ascii="Rockwell" w:eastAsia="Times New Roman" w:hAnsi="Rockwell" w:cs="Times New Roman"/>
          <w:sz w:val="24"/>
          <w:szCs w:val="24"/>
        </w:rPr>
        <w:t>he deposit bo</w:t>
      </w:r>
      <w:r w:rsidR="00CC05A8" w:rsidRPr="004A76D7">
        <w:rPr>
          <w:rFonts w:ascii="Rockwell" w:eastAsia="Times New Roman" w:hAnsi="Rockwell" w:cs="Times New Roman"/>
          <w:sz w:val="24"/>
          <w:szCs w:val="24"/>
        </w:rPr>
        <w:t>nds payable in the mining sector</w:t>
      </w:r>
      <w:r w:rsidRPr="004A76D7">
        <w:rPr>
          <w:rFonts w:ascii="Rockwell" w:eastAsia="Times New Roman" w:hAnsi="Rockwell" w:cs="Times New Roman"/>
          <w:sz w:val="24"/>
          <w:szCs w:val="24"/>
        </w:rPr>
        <w:t xml:space="preserve"> </w:t>
      </w:r>
    </w:p>
    <w:p w:rsidR="006822F2" w:rsidRPr="004A76D7" w:rsidRDefault="00CC05A8" w:rsidP="000E7DFC">
      <w:pPr>
        <w:numPr>
          <w:ilvl w:val="0"/>
          <w:numId w:val="1"/>
        </w:numPr>
        <w:jc w:val="both"/>
        <w:rPr>
          <w:rFonts w:ascii="Rockwell" w:hAnsi="Rockwell"/>
          <w:sz w:val="24"/>
          <w:szCs w:val="24"/>
        </w:rPr>
      </w:pPr>
      <w:r w:rsidRPr="004A76D7">
        <w:rPr>
          <w:rFonts w:ascii="Rockwell" w:eastAsia="Times New Roman" w:hAnsi="Rockwell" w:cs="Times New Roman"/>
          <w:sz w:val="24"/>
          <w:szCs w:val="24"/>
        </w:rPr>
        <w:t xml:space="preserve">To provide a </w:t>
      </w:r>
      <w:r w:rsidR="00AD5D8B" w:rsidRPr="004A76D7">
        <w:rPr>
          <w:rFonts w:ascii="Rockwell" w:eastAsia="Times New Roman" w:hAnsi="Rockwell" w:cs="Times New Roman"/>
          <w:sz w:val="24"/>
          <w:szCs w:val="24"/>
        </w:rPr>
        <w:t>guide for the proponents/</w:t>
      </w:r>
      <w:r w:rsidRPr="004A76D7">
        <w:rPr>
          <w:rFonts w:ascii="Rockwell" w:eastAsia="Times New Roman" w:hAnsi="Rockwell" w:cs="Times New Roman"/>
          <w:sz w:val="24"/>
          <w:szCs w:val="24"/>
        </w:rPr>
        <w:t>operators/</w:t>
      </w:r>
      <w:r w:rsidR="00AD5D8B" w:rsidRPr="004A76D7">
        <w:rPr>
          <w:rFonts w:ascii="Rockwell" w:eastAsia="Times New Roman" w:hAnsi="Rockwell" w:cs="Times New Roman"/>
          <w:sz w:val="24"/>
          <w:szCs w:val="24"/>
        </w:rPr>
        <w:t>mineral right holders while undertaking self-assessment of their remediation obligations as an initial step in determining the amount of the deposit bond.</w:t>
      </w:r>
    </w:p>
    <w:p w:rsidR="006822F2" w:rsidRPr="004A76D7" w:rsidRDefault="00AD5D8B" w:rsidP="000E7DFC">
      <w:pPr>
        <w:numPr>
          <w:ilvl w:val="0"/>
          <w:numId w:val="1"/>
        </w:numPr>
        <w:jc w:val="both"/>
        <w:rPr>
          <w:rFonts w:ascii="Rockwell" w:hAnsi="Rockwell"/>
          <w:sz w:val="24"/>
          <w:szCs w:val="24"/>
        </w:rPr>
      </w:pPr>
      <w:r w:rsidRPr="004A76D7">
        <w:rPr>
          <w:rFonts w:ascii="Rockwell" w:eastAsia="Times New Roman" w:hAnsi="Rockwell" w:cs="Times New Roman"/>
          <w:sz w:val="24"/>
          <w:szCs w:val="24"/>
        </w:rPr>
        <w:t>To outline the administrative and consultative process for the estab</w:t>
      </w:r>
      <w:r w:rsidR="00CC05A8" w:rsidRPr="004A76D7">
        <w:rPr>
          <w:rFonts w:ascii="Rockwell" w:eastAsia="Times New Roman" w:hAnsi="Rockwell" w:cs="Times New Roman"/>
          <w:sz w:val="24"/>
          <w:szCs w:val="24"/>
        </w:rPr>
        <w:t>lishment, review,</w:t>
      </w:r>
      <w:r w:rsidR="009841AC" w:rsidRPr="004A76D7">
        <w:rPr>
          <w:rFonts w:ascii="Rockwell" w:eastAsia="Times New Roman" w:hAnsi="Rockwell" w:cs="Times New Roman"/>
          <w:sz w:val="24"/>
          <w:szCs w:val="24"/>
        </w:rPr>
        <w:t xml:space="preserve"> reassessment, </w:t>
      </w:r>
      <w:r w:rsidRPr="004A76D7">
        <w:rPr>
          <w:rFonts w:ascii="Rockwell" w:eastAsia="Times New Roman" w:hAnsi="Rockwell" w:cs="Times New Roman"/>
          <w:sz w:val="24"/>
          <w:szCs w:val="24"/>
        </w:rPr>
        <w:t>refund</w:t>
      </w:r>
      <w:r w:rsidR="009841AC" w:rsidRPr="004A76D7">
        <w:rPr>
          <w:rFonts w:ascii="Rockwell" w:eastAsia="Times New Roman" w:hAnsi="Rockwell" w:cs="Times New Roman"/>
          <w:sz w:val="24"/>
          <w:szCs w:val="24"/>
        </w:rPr>
        <w:t xml:space="preserve"> and </w:t>
      </w:r>
      <w:r w:rsidR="00CC05A8" w:rsidRPr="004A76D7">
        <w:rPr>
          <w:rFonts w:ascii="Rockwell" w:eastAsia="Times New Roman" w:hAnsi="Rockwell" w:cs="Times New Roman"/>
          <w:sz w:val="24"/>
          <w:szCs w:val="24"/>
        </w:rPr>
        <w:t xml:space="preserve">confiscation </w:t>
      </w:r>
      <w:r w:rsidRPr="004A76D7">
        <w:rPr>
          <w:rFonts w:ascii="Rockwell" w:eastAsia="Times New Roman" w:hAnsi="Rockwell" w:cs="Times New Roman"/>
          <w:sz w:val="24"/>
          <w:szCs w:val="24"/>
        </w:rPr>
        <w:t xml:space="preserve">of </w:t>
      </w:r>
      <w:r w:rsidR="009841AC" w:rsidRPr="004A76D7">
        <w:rPr>
          <w:rFonts w:ascii="Rockwell" w:eastAsia="Times New Roman" w:hAnsi="Rockwell" w:cs="Times New Roman"/>
          <w:sz w:val="24"/>
          <w:szCs w:val="24"/>
        </w:rPr>
        <w:t xml:space="preserve">the </w:t>
      </w:r>
      <w:r w:rsidRPr="004A76D7">
        <w:rPr>
          <w:rFonts w:ascii="Rockwell" w:eastAsia="Times New Roman" w:hAnsi="Rockwell" w:cs="Times New Roman"/>
          <w:sz w:val="24"/>
          <w:szCs w:val="24"/>
        </w:rPr>
        <w:t>Deposit Bonds</w:t>
      </w:r>
    </w:p>
    <w:p w:rsidR="006822F2" w:rsidRPr="004A76D7" w:rsidRDefault="00AD5D8B" w:rsidP="000E7DFC">
      <w:pPr>
        <w:pStyle w:val="Heading1"/>
        <w:jc w:val="both"/>
        <w:rPr>
          <w:rFonts w:ascii="Rockwell" w:eastAsia="Times New Roman" w:hAnsi="Rockwell" w:cs="Times New Roman"/>
          <w:b/>
          <w:sz w:val="24"/>
          <w:szCs w:val="24"/>
        </w:rPr>
      </w:pPr>
      <w:bookmarkStart w:id="9" w:name="_Toc209047097"/>
      <w:r w:rsidRPr="004A76D7">
        <w:rPr>
          <w:rFonts w:ascii="Rockwell" w:eastAsia="Times New Roman" w:hAnsi="Rockwell" w:cs="Times New Roman"/>
          <w:b/>
          <w:sz w:val="24"/>
          <w:szCs w:val="24"/>
        </w:rPr>
        <w:t>1.4 Scope</w:t>
      </w:r>
      <w:bookmarkEnd w:id="9"/>
    </w:p>
    <w:p w:rsidR="00AD5D8B" w:rsidRPr="004A76D7" w:rsidRDefault="00AD5D8B" w:rsidP="000E7DFC">
      <w:pPr>
        <w:spacing w:after="240"/>
        <w:ind w:right="82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The guidelines apply to all mining operations in </w:t>
      </w:r>
      <w:r w:rsidR="009841AC" w:rsidRPr="004A76D7">
        <w:rPr>
          <w:rFonts w:ascii="Rockwell" w:eastAsia="Times New Roman" w:hAnsi="Rockwell" w:cs="Times New Roman"/>
          <w:sz w:val="24"/>
          <w:szCs w:val="24"/>
        </w:rPr>
        <w:t>Kenya and will include</w:t>
      </w:r>
      <w:r w:rsidR="00032D9B" w:rsidRPr="004A76D7">
        <w:rPr>
          <w:rFonts w:ascii="Rockwell" w:eastAsia="Times New Roman" w:hAnsi="Rockwell" w:cs="Times New Roman"/>
          <w:sz w:val="24"/>
          <w:szCs w:val="24"/>
        </w:rPr>
        <w:t xml:space="preserve"> the following</w:t>
      </w:r>
      <w:r w:rsidRPr="004A76D7">
        <w:rPr>
          <w:rFonts w:ascii="Rockwell" w:eastAsia="Times New Roman" w:hAnsi="Rockwell" w:cs="Times New Roman"/>
          <w:sz w:val="24"/>
          <w:szCs w:val="24"/>
        </w:rPr>
        <w:t>;</w:t>
      </w:r>
    </w:p>
    <w:p w:rsidR="00AD5D8B" w:rsidRPr="004A76D7" w:rsidRDefault="00032D9B" w:rsidP="000E7DFC">
      <w:pPr>
        <w:spacing w:after="240"/>
        <w:ind w:right="820" w:firstLine="720"/>
        <w:jc w:val="both"/>
        <w:rPr>
          <w:rFonts w:ascii="Rockwell" w:eastAsia="Times New Roman" w:hAnsi="Rockwell" w:cs="Times New Roman"/>
          <w:sz w:val="24"/>
          <w:szCs w:val="24"/>
        </w:rPr>
      </w:pPr>
      <w:r w:rsidRPr="004A76D7">
        <w:rPr>
          <w:rFonts w:ascii="Rockwell" w:eastAsia="Times New Roman" w:hAnsi="Rockwell" w:cs="Times New Roman"/>
          <w:sz w:val="24"/>
          <w:szCs w:val="24"/>
        </w:rPr>
        <w:t>(a)  M</w:t>
      </w:r>
      <w:r w:rsidR="00AD5D8B" w:rsidRPr="004A76D7">
        <w:rPr>
          <w:rFonts w:ascii="Rockwell" w:eastAsia="Times New Roman" w:hAnsi="Rockwell" w:cs="Times New Roman"/>
          <w:sz w:val="24"/>
          <w:szCs w:val="24"/>
        </w:rPr>
        <w:t>ineral exploration operations (onshore and offshore);</w:t>
      </w:r>
    </w:p>
    <w:p w:rsidR="00AD5D8B" w:rsidRPr="004A76D7" w:rsidRDefault="00032D9B" w:rsidP="000E7DFC">
      <w:pPr>
        <w:spacing w:after="240"/>
        <w:ind w:right="820" w:firstLine="720"/>
        <w:jc w:val="both"/>
        <w:rPr>
          <w:rFonts w:ascii="Rockwell" w:eastAsia="Times New Roman" w:hAnsi="Rockwell" w:cs="Times New Roman"/>
          <w:sz w:val="24"/>
          <w:szCs w:val="24"/>
        </w:rPr>
      </w:pPr>
      <w:r w:rsidRPr="004A76D7">
        <w:rPr>
          <w:rFonts w:ascii="Rockwell" w:eastAsia="Times New Roman" w:hAnsi="Rockwell" w:cs="Times New Roman"/>
          <w:sz w:val="24"/>
          <w:szCs w:val="24"/>
        </w:rPr>
        <w:t>(b)  M</w:t>
      </w:r>
      <w:r w:rsidR="00AD5D8B" w:rsidRPr="004A76D7">
        <w:rPr>
          <w:rFonts w:ascii="Rockwell" w:eastAsia="Times New Roman" w:hAnsi="Rockwell" w:cs="Times New Roman"/>
          <w:sz w:val="24"/>
          <w:szCs w:val="24"/>
        </w:rPr>
        <w:t>ineral extraction activities (onshore and offshore);</w:t>
      </w:r>
    </w:p>
    <w:p w:rsidR="00AD5D8B" w:rsidRPr="004A76D7" w:rsidRDefault="00AD5D8B" w:rsidP="000E7DFC">
      <w:pPr>
        <w:spacing w:after="240"/>
        <w:ind w:right="820" w:firstLine="72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(c) </w:t>
      </w:r>
      <w:r w:rsidR="00032D9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Mineral processing and disposal</w:t>
      </w:r>
      <w:r w:rsidR="00032D9B" w:rsidRPr="004A76D7">
        <w:rPr>
          <w:rFonts w:ascii="Rockwell" w:eastAsia="Times New Roman" w:hAnsi="Rockwell" w:cs="Times New Roman"/>
          <w:sz w:val="24"/>
          <w:szCs w:val="24"/>
        </w:rPr>
        <w:t>;</w:t>
      </w:r>
    </w:p>
    <w:p w:rsidR="006822F2" w:rsidRPr="004A76D7" w:rsidRDefault="00032D9B" w:rsidP="000E7DFC">
      <w:pPr>
        <w:spacing w:after="240"/>
        <w:ind w:right="820" w:firstLine="720"/>
        <w:jc w:val="both"/>
        <w:rPr>
          <w:rFonts w:ascii="Rockwell" w:eastAsia="Times New Roman" w:hAnsi="Rockwell" w:cs="Times New Roman"/>
          <w:sz w:val="24"/>
          <w:szCs w:val="24"/>
        </w:rPr>
      </w:pPr>
      <w:r w:rsidRPr="004A76D7">
        <w:rPr>
          <w:rFonts w:ascii="Rockwell" w:eastAsia="Times New Roman" w:hAnsi="Rockwell" w:cs="Times New Roman"/>
          <w:sz w:val="24"/>
          <w:szCs w:val="24"/>
        </w:rPr>
        <w:t>(d)  Q</w:t>
      </w:r>
      <w:r w:rsidR="00AD5D8B" w:rsidRPr="004A76D7">
        <w:rPr>
          <w:rFonts w:ascii="Rockwell" w:eastAsia="Times New Roman" w:hAnsi="Rockwell" w:cs="Times New Roman"/>
          <w:sz w:val="24"/>
          <w:szCs w:val="24"/>
        </w:rPr>
        <w:t>uarrying.</w:t>
      </w:r>
    </w:p>
    <w:p w:rsidR="00032D9B" w:rsidRPr="004A76D7" w:rsidRDefault="00AD5D8B"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The Guidelines shall </w:t>
      </w:r>
      <w:r w:rsidR="00032D9B" w:rsidRPr="004A76D7">
        <w:rPr>
          <w:rFonts w:ascii="Rockwell" w:eastAsia="Times New Roman" w:hAnsi="Rockwell" w:cs="Times New Roman"/>
          <w:sz w:val="24"/>
          <w:szCs w:val="24"/>
        </w:rPr>
        <w:t xml:space="preserve">apply to </w:t>
      </w:r>
      <w:r w:rsidRPr="004A76D7">
        <w:rPr>
          <w:rFonts w:ascii="Rockwell" w:eastAsia="Times New Roman" w:hAnsi="Rockwell" w:cs="Times New Roman"/>
          <w:sz w:val="24"/>
          <w:szCs w:val="24"/>
        </w:rPr>
        <w:t>mining operators</w:t>
      </w:r>
      <w:r w:rsidR="00032D9B" w:rsidRPr="004A76D7">
        <w:rPr>
          <w:rFonts w:ascii="Rockwell" w:eastAsia="Times New Roman" w:hAnsi="Rockwell" w:cs="Times New Roman"/>
          <w:sz w:val="24"/>
          <w:szCs w:val="24"/>
        </w:rPr>
        <w:t>/proponent</w:t>
      </w:r>
      <w:r w:rsidR="00D46AA7" w:rsidRPr="004A76D7">
        <w:rPr>
          <w:rFonts w:ascii="Rockwell" w:eastAsia="Times New Roman" w:hAnsi="Rockwell" w:cs="Times New Roman"/>
          <w:sz w:val="24"/>
          <w:szCs w:val="24"/>
        </w:rPr>
        <w:t>, environmental experts, private sector, Civil Society Organizations (CSOs), communities and media</w:t>
      </w:r>
      <w:r w:rsidR="00032D9B" w:rsidRPr="004A76D7">
        <w:rPr>
          <w:rFonts w:ascii="Rockwell" w:eastAsia="Times New Roman" w:hAnsi="Rockwell" w:cs="Times New Roman"/>
          <w:sz w:val="24"/>
          <w:szCs w:val="24"/>
        </w:rPr>
        <w:t xml:space="preserve"> </w:t>
      </w:r>
      <w:r w:rsidR="00032D9B" w:rsidRPr="004A76D7">
        <w:rPr>
          <w:rFonts w:ascii="Rockwell" w:hAnsi="Rockwell" w:cs="Rockwell"/>
          <w:sz w:val="24"/>
          <w:szCs w:val="24"/>
        </w:rPr>
        <w:t xml:space="preserve">to inform </w:t>
      </w:r>
      <w:r w:rsidR="00D46AA7" w:rsidRPr="004A76D7">
        <w:rPr>
          <w:rFonts w:ascii="Rockwell" w:hAnsi="Rockwell" w:cs="Rockwell"/>
          <w:sz w:val="24"/>
          <w:szCs w:val="24"/>
        </w:rPr>
        <w:t xml:space="preserve">on </w:t>
      </w:r>
      <w:r w:rsidR="00032D9B" w:rsidRPr="004A76D7">
        <w:rPr>
          <w:rFonts w:ascii="Rockwell" w:hAnsi="Rockwell" w:cs="Rockwell"/>
          <w:sz w:val="24"/>
          <w:szCs w:val="24"/>
        </w:rPr>
        <w:t xml:space="preserve">best practices in mine </w:t>
      </w:r>
      <w:r w:rsidR="00D46AA7" w:rsidRPr="004A76D7">
        <w:rPr>
          <w:rFonts w:ascii="Rockwell" w:hAnsi="Rockwell" w:cs="Rockwell"/>
          <w:sz w:val="24"/>
          <w:szCs w:val="24"/>
        </w:rPr>
        <w:t>site remediation and to guide on remediation</w:t>
      </w:r>
      <w:r w:rsidR="00032D9B" w:rsidRPr="004A76D7">
        <w:rPr>
          <w:rFonts w:ascii="Rockwell" w:hAnsi="Rockwell" w:cs="Rockwell"/>
          <w:sz w:val="24"/>
          <w:szCs w:val="24"/>
        </w:rPr>
        <w:t xml:space="preserve"> liability</w:t>
      </w:r>
      <w:r w:rsidR="00D46AA7" w:rsidRPr="004A76D7">
        <w:rPr>
          <w:rFonts w:ascii="Rockwell" w:hAnsi="Rockwell" w:cs="Rockwell"/>
          <w:sz w:val="24"/>
          <w:szCs w:val="24"/>
        </w:rPr>
        <w:t xml:space="preserve"> estimation</w:t>
      </w:r>
      <w:r w:rsidR="00032D9B" w:rsidRPr="004A76D7">
        <w:rPr>
          <w:rFonts w:ascii="Rockwell" w:hAnsi="Rockwell" w:cs="Rockwell"/>
          <w:sz w:val="24"/>
          <w:szCs w:val="24"/>
        </w:rPr>
        <w:t>.</w:t>
      </w:r>
      <w:r w:rsidRPr="004A76D7">
        <w:rPr>
          <w:rFonts w:ascii="Rockwell" w:eastAsia="Times New Roman" w:hAnsi="Rockwell" w:cs="Times New Roman"/>
          <w:sz w:val="24"/>
          <w:szCs w:val="24"/>
        </w:rPr>
        <w:t xml:space="preserve"> </w:t>
      </w:r>
    </w:p>
    <w:p w:rsidR="006822F2" w:rsidRPr="004A76D7" w:rsidRDefault="00032D9B"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The </w:t>
      </w:r>
      <w:r w:rsidR="00D46AA7" w:rsidRPr="004A76D7">
        <w:rPr>
          <w:rFonts w:ascii="Rockwell" w:eastAsia="Times New Roman" w:hAnsi="Rockwell" w:cs="Times New Roman"/>
          <w:sz w:val="24"/>
          <w:szCs w:val="24"/>
        </w:rPr>
        <w:t xml:space="preserve">Guidelines will further apply to the </w:t>
      </w:r>
      <w:r w:rsidR="00AD5D8B" w:rsidRPr="004A76D7">
        <w:rPr>
          <w:rFonts w:ascii="Rockwell" w:eastAsia="Times New Roman" w:hAnsi="Rockwell" w:cs="Times New Roman"/>
          <w:sz w:val="24"/>
          <w:szCs w:val="24"/>
        </w:rPr>
        <w:t>Ministries</w:t>
      </w:r>
      <w:r w:rsidR="009841AC" w:rsidRPr="004A76D7">
        <w:rPr>
          <w:rFonts w:ascii="Rockwell" w:eastAsia="Times New Roman" w:hAnsi="Rockwell" w:cs="Times New Roman"/>
          <w:sz w:val="24"/>
          <w:szCs w:val="24"/>
        </w:rPr>
        <w:t>,</w:t>
      </w:r>
      <w:r w:rsidR="00AD5D8B" w:rsidRPr="004A76D7">
        <w:rPr>
          <w:rFonts w:ascii="Rockwell" w:eastAsia="Times New Roman" w:hAnsi="Rockwell" w:cs="Times New Roman"/>
          <w:sz w:val="24"/>
          <w:szCs w:val="24"/>
        </w:rPr>
        <w:t xml:space="preserve"> Counties, Departments and Agencies (MCDAs)</w:t>
      </w:r>
      <w:r w:rsidRPr="004A76D7">
        <w:rPr>
          <w:rFonts w:ascii="Rockwell" w:eastAsia="Times New Roman" w:hAnsi="Rockwell" w:cs="Times New Roman"/>
          <w:sz w:val="24"/>
          <w:szCs w:val="24"/>
        </w:rPr>
        <w:t xml:space="preserve"> </w:t>
      </w:r>
      <w:r w:rsidR="00D46AA7" w:rsidRPr="004A76D7">
        <w:rPr>
          <w:rFonts w:ascii="Rockwell" w:hAnsi="Rockwell" w:cs="Rockwell"/>
          <w:sz w:val="24"/>
          <w:szCs w:val="24"/>
        </w:rPr>
        <w:t>during the consultative reviews,</w:t>
      </w:r>
      <w:r w:rsidR="00D46AA7" w:rsidRPr="004A76D7">
        <w:rPr>
          <w:rFonts w:ascii="Rockwell" w:eastAsia="Times New Roman" w:hAnsi="Rockwell" w:cs="Times New Roman"/>
          <w:sz w:val="24"/>
          <w:szCs w:val="24"/>
        </w:rPr>
        <w:t xml:space="preserve"> reassessment, refund and confiscation of the Deposit Bonds.</w:t>
      </w:r>
    </w:p>
    <w:p w:rsidR="006822F2" w:rsidRPr="004A76D7" w:rsidRDefault="00AD5D8B" w:rsidP="000E7DFC">
      <w:pPr>
        <w:pStyle w:val="Heading1"/>
        <w:jc w:val="both"/>
        <w:rPr>
          <w:rFonts w:ascii="Rockwell" w:eastAsia="Times New Roman" w:hAnsi="Rockwell" w:cs="Times New Roman"/>
          <w:b/>
          <w:sz w:val="24"/>
          <w:szCs w:val="24"/>
        </w:rPr>
      </w:pPr>
      <w:bookmarkStart w:id="10" w:name="_Toc209047098"/>
      <w:r w:rsidRPr="004A76D7">
        <w:rPr>
          <w:rFonts w:ascii="Rockwell" w:eastAsia="Times New Roman" w:hAnsi="Rockwell" w:cs="Times New Roman"/>
          <w:b/>
          <w:sz w:val="24"/>
          <w:szCs w:val="24"/>
        </w:rPr>
        <w:t>1.5 Review and update of the guidelines</w:t>
      </w:r>
      <w:bookmarkEnd w:id="10"/>
    </w:p>
    <w:p w:rsidR="006822F2" w:rsidRDefault="00AD5D8B"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The guideline will be reviewed after every five (5) years and/or as the Authority may deem necessary. This may be necessitated by changing legislative frameworks, evolving best practices, technological advancement and other emerging issues in the mining sector.</w:t>
      </w:r>
    </w:p>
    <w:p w:rsidR="000E7DFC" w:rsidRDefault="000E7DFC" w:rsidP="000E7DFC">
      <w:pPr>
        <w:spacing w:before="240"/>
        <w:jc w:val="both"/>
        <w:rPr>
          <w:rFonts w:ascii="Rockwell" w:eastAsia="Times New Roman" w:hAnsi="Rockwell" w:cs="Times New Roman"/>
          <w:sz w:val="24"/>
          <w:szCs w:val="24"/>
        </w:rPr>
      </w:pPr>
    </w:p>
    <w:p w:rsidR="000E7DFC" w:rsidRDefault="000E7DFC" w:rsidP="000E7DFC">
      <w:pPr>
        <w:spacing w:before="240"/>
        <w:jc w:val="both"/>
        <w:rPr>
          <w:rFonts w:ascii="Rockwell" w:eastAsia="Times New Roman" w:hAnsi="Rockwell" w:cs="Times New Roman"/>
          <w:sz w:val="24"/>
          <w:szCs w:val="24"/>
        </w:rPr>
      </w:pPr>
    </w:p>
    <w:p w:rsidR="00325A9B" w:rsidRDefault="00325A9B" w:rsidP="000E7DFC">
      <w:pPr>
        <w:spacing w:before="240"/>
        <w:jc w:val="both"/>
        <w:rPr>
          <w:rFonts w:ascii="Rockwell" w:eastAsia="Times New Roman" w:hAnsi="Rockwell" w:cs="Times New Roman"/>
          <w:sz w:val="24"/>
          <w:szCs w:val="24"/>
        </w:rPr>
      </w:pPr>
    </w:p>
    <w:p w:rsidR="006822F2" w:rsidRPr="004A76D7" w:rsidRDefault="006B33C9" w:rsidP="000E7DFC">
      <w:pPr>
        <w:pStyle w:val="Heading1"/>
        <w:jc w:val="both"/>
        <w:rPr>
          <w:rFonts w:ascii="Rockwell" w:eastAsia="Times New Roman" w:hAnsi="Rockwell" w:cs="Times New Roman"/>
          <w:b/>
          <w:sz w:val="24"/>
          <w:szCs w:val="24"/>
        </w:rPr>
      </w:pPr>
      <w:bookmarkStart w:id="11" w:name="_Toc209047099"/>
      <w:r w:rsidRPr="004A76D7">
        <w:rPr>
          <w:rFonts w:ascii="Rockwell" w:eastAsia="Times New Roman" w:hAnsi="Rockwell" w:cs="Times New Roman"/>
          <w:b/>
          <w:sz w:val="24"/>
          <w:szCs w:val="24"/>
        </w:rPr>
        <w:lastRenderedPageBreak/>
        <w:t>Chapter Two: Policy, Legal and Institutional Framework</w:t>
      </w:r>
      <w:bookmarkEnd w:id="11"/>
    </w:p>
    <w:p w:rsidR="006B33C9" w:rsidRDefault="006B33C9" w:rsidP="000E7DFC">
      <w:pPr>
        <w:jc w:val="both"/>
        <w:rPr>
          <w:rFonts w:ascii="Rockwell" w:hAnsi="Rockwell"/>
          <w:sz w:val="24"/>
          <w:szCs w:val="24"/>
        </w:rPr>
      </w:pPr>
      <w:r w:rsidRPr="004A76D7">
        <w:rPr>
          <w:rFonts w:ascii="Rockwell" w:hAnsi="Rockwell"/>
          <w:sz w:val="24"/>
          <w:szCs w:val="24"/>
        </w:rPr>
        <w:t xml:space="preserve">This section highlights the governance and regulatory </w:t>
      </w:r>
      <w:r w:rsidR="00E92FC3">
        <w:rPr>
          <w:rFonts w:ascii="Rockwell" w:hAnsi="Rockwell"/>
          <w:sz w:val="24"/>
          <w:szCs w:val="24"/>
        </w:rPr>
        <w:t xml:space="preserve">framework </w:t>
      </w:r>
      <w:r w:rsidRPr="004A76D7">
        <w:rPr>
          <w:rFonts w:ascii="Rockwell" w:hAnsi="Rockwell"/>
          <w:sz w:val="24"/>
          <w:szCs w:val="24"/>
        </w:rPr>
        <w:t xml:space="preserve">under which these Guidelines have been developed and anchored. </w:t>
      </w:r>
      <w:r w:rsidR="00D616AB">
        <w:rPr>
          <w:rFonts w:ascii="Rockwell" w:hAnsi="Rockwell"/>
          <w:sz w:val="24"/>
          <w:szCs w:val="24"/>
        </w:rPr>
        <w:t>This section also highlights the global best practices regarding the management of the environmental deposit bonds.</w:t>
      </w:r>
    </w:p>
    <w:p w:rsidR="00D616AB" w:rsidRPr="00D616AB" w:rsidRDefault="00D616AB" w:rsidP="00D616AB">
      <w:pPr>
        <w:pStyle w:val="Heading1"/>
        <w:jc w:val="both"/>
        <w:rPr>
          <w:rFonts w:ascii="Rockwell" w:eastAsia="Rockwell" w:hAnsi="Rockwell" w:cs="Rockwell"/>
          <w:b/>
          <w:sz w:val="24"/>
          <w:szCs w:val="24"/>
        </w:rPr>
      </w:pPr>
      <w:bookmarkStart w:id="12" w:name="_Toc209047100"/>
      <w:r w:rsidRPr="00D616AB">
        <w:rPr>
          <w:rFonts w:ascii="Rockwell" w:eastAsia="Rockwell" w:hAnsi="Rockwell" w:cs="Rockwell"/>
          <w:b/>
          <w:sz w:val="24"/>
          <w:szCs w:val="24"/>
        </w:rPr>
        <w:t>2.1 Policy, Legal and Institutional framework</w:t>
      </w:r>
      <w:bookmarkEnd w:id="12"/>
    </w:p>
    <w:p w:rsidR="00D616AB" w:rsidRPr="00D616AB" w:rsidRDefault="00D616AB" w:rsidP="000E7DFC">
      <w:pPr>
        <w:jc w:val="both"/>
        <w:rPr>
          <w:rFonts w:ascii="Rockwell" w:hAnsi="Rockwell"/>
          <w:sz w:val="24"/>
          <w:szCs w:val="24"/>
        </w:rPr>
      </w:pPr>
      <w:r w:rsidRPr="00D616AB">
        <w:rPr>
          <w:rFonts w:ascii="Rockwell" w:hAnsi="Rockwell"/>
          <w:sz w:val="24"/>
          <w:szCs w:val="24"/>
        </w:rPr>
        <w:t>The table below highlights the various policy, legal institutional framework that are applicable for the management of the environmental deposit bonds.</w:t>
      </w:r>
    </w:p>
    <w:p w:rsidR="004520FD" w:rsidRPr="004A76D7" w:rsidRDefault="004520FD" w:rsidP="000E7DFC">
      <w:pPr>
        <w:pBdr>
          <w:top w:val="nil"/>
          <w:left w:val="nil"/>
          <w:bottom w:val="nil"/>
          <w:right w:val="nil"/>
          <w:between w:val="nil"/>
        </w:pBdr>
        <w:jc w:val="both"/>
        <w:rPr>
          <w:rFonts w:ascii="Rockwell" w:hAnsi="Rockwell"/>
          <w:color w:val="000000"/>
          <w:sz w:val="24"/>
          <w:szCs w:val="24"/>
        </w:rPr>
      </w:pP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990"/>
        <w:gridCol w:w="2130"/>
        <w:gridCol w:w="2554"/>
        <w:gridCol w:w="2410"/>
        <w:gridCol w:w="1985"/>
      </w:tblGrid>
      <w:tr w:rsidR="004520FD" w:rsidRPr="004A76D7" w:rsidTr="00EC7926">
        <w:trPr>
          <w:trHeight w:val="340"/>
        </w:trPr>
        <w:tc>
          <w:tcPr>
            <w:tcW w:w="705" w:type="dxa"/>
          </w:tcPr>
          <w:p w:rsidR="004520FD" w:rsidRPr="004A76D7" w:rsidRDefault="004520FD" w:rsidP="000E7DFC">
            <w:pPr>
              <w:jc w:val="both"/>
              <w:rPr>
                <w:rFonts w:ascii="Rockwell" w:eastAsia="Rockwell" w:hAnsi="Rockwell" w:cs="Rockwell"/>
                <w:b/>
                <w:sz w:val="24"/>
                <w:szCs w:val="24"/>
              </w:rPr>
            </w:pPr>
            <w:r w:rsidRPr="004A76D7">
              <w:rPr>
                <w:rFonts w:ascii="Rockwell" w:eastAsia="Rockwell" w:hAnsi="Rockwell" w:cs="Rockwell"/>
                <w:b/>
                <w:sz w:val="24"/>
                <w:szCs w:val="24"/>
              </w:rPr>
              <w:t>No.</w:t>
            </w:r>
          </w:p>
        </w:tc>
        <w:tc>
          <w:tcPr>
            <w:tcW w:w="3120" w:type="dxa"/>
            <w:gridSpan w:val="2"/>
          </w:tcPr>
          <w:p w:rsidR="004520FD" w:rsidRPr="004A76D7" w:rsidRDefault="004520FD" w:rsidP="000E7DFC">
            <w:pPr>
              <w:jc w:val="both"/>
              <w:rPr>
                <w:rFonts w:ascii="Rockwell" w:eastAsia="Rockwell" w:hAnsi="Rockwell" w:cs="Rockwell"/>
                <w:b/>
                <w:sz w:val="24"/>
                <w:szCs w:val="24"/>
              </w:rPr>
            </w:pPr>
            <w:r w:rsidRPr="004A76D7">
              <w:rPr>
                <w:rFonts w:ascii="Rockwell" w:eastAsia="Rockwell" w:hAnsi="Rockwell" w:cs="Rockwell"/>
                <w:b/>
                <w:sz w:val="24"/>
                <w:szCs w:val="24"/>
              </w:rPr>
              <w:t>Policy and Legal Frameworks</w:t>
            </w:r>
          </w:p>
        </w:tc>
        <w:tc>
          <w:tcPr>
            <w:tcW w:w="2554" w:type="dxa"/>
          </w:tcPr>
          <w:p w:rsidR="004520FD" w:rsidRPr="004A76D7" w:rsidRDefault="004520FD" w:rsidP="000E7DFC">
            <w:pPr>
              <w:jc w:val="both"/>
              <w:rPr>
                <w:rFonts w:ascii="Rockwell" w:eastAsia="Rockwell" w:hAnsi="Rockwell" w:cs="Rockwell"/>
                <w:b/>
                <w:sz w:val="24"/>
                <w:szCs w:val="24"/>
              </w:rPr>
            </w:pPr>
            <w:r w:rsidRPr="004A76D7">
              <w:rPr>
                <w:rFonts w:ascii="Rockwell" w:eastAsia="Rockwell" w:hAnsi="Rockwell" w:cs="Rockwell"/>
                <w:b/>
                <w:sz w:val="24"/>
                <w:szCs w:val="24"/>
              </w:rPr>
              <w:t>Key Applicable Provisions</w:t>
            </w:r>
          </w:p>
        </w:tc>
        <w:tc>
          <w:tcPr>
            <w:tcW w:w="2410" w:type="dxa"/>
          </w:tcPr>
          <w:p w:rsidR="004520FD" w:rsidRPr="004A76D7" w:rsidRDefault="004520FD" w:rsidP="000E7DFC">
            <w:pPr>
              <w:jc w:val="both"/>
              <w:rPr>
                <w:rFonts w:ascii="Rockwell" w:eastAsia="Rockwell" w:hAnsi="Rockwell" w:cs="Rockwell"/>
                <w:b/>
                <w:sz w:val="24"/>
                <w:szCs w:val="24"/>
              </w:rPr>
            </w:pPr>
            <w:r w:rsidRPr="004A76D7">
              <w:rPr>
                <w:rFonts w:ascii="Rockwell" w:eastAsia="Rockwell" w:hAnsi="Rockwell" w:cs="Rockwell"/>
                <w:b/>
                <w:sz w:val="24"/>
                <w:szCs w:val="24"/>
              </w:rPr>
              <w:t>Regulations</w:t>
            </w:r>
          </w:p>
        </w:tc>
        <w:tc>
          <w:tcPr>
            <w:tcW w:w="1985" w:type="dxa"/>
          </w:tcPr>
          <w:p w:rsidR="004520FD" w:rsidRPr="004A76D7" w:rsidRDefault="004520FD" w:rsidP="000E7DFC">
            <w:pPr>
              <w:jc w:val="both"/>
              <w:rPr>
                <w:rFonts w:ascii="Rockwell" w:eastAsia="Rockwell" w:hAnsi="Rockwell" w:cs="Rockwell"/>
                <w:b/>
                <w:sz w:val="24"/>
                <w:szCs w:val="24"/>
              </w:rPr>
            </w:pPr>
            <w:r w:rsidRPr="004A76D7">
              <w:rPr>
                <w:rFonts w:ascii="Rockwell" w:eastAsia="Rockwell" w:hAnsi="Rockwell" w:cs="Rockwell"/>
                <w:b/>
                <w:sz w:val="24"/>
                <w:szCs w:val="24"/>
              </w:rPr>
              <w:t>Institutions</w:t>
            </w:r>
          </w:p>
        </w:tc>
      </w:tr>
      <w:tr w:rsidR="004520FD" w:rsidRPr="004A76D7" w:rsidTr="00EC7926">
        <w:trPr>
          <w:trHeight w:val="340"/>
        </w:trPr>
        <w:tc>
          <w:tcPr>
            <w:tcW w:w="705" w:type="dxa"/>
          </w:tcPr>
          <w:p w:rsidR="004520FD" w:rsidRPr="004A76D7" w:rsidRDefault="004520FD" w:rsidP="000E7DFC">
            <w:pPr>
              <w:jc w:val="both"/>
              <w:rPr>
                <w:rFonts w:ascii="Rockwell" w:eastAsia="Rockwell" w:hAnsi="Rockwell" w:cs="Rockwell"/>
                <w:b/>
                <w:sz w:val="24"/>
                <w:szCs w:val="24"/>
              </w:rPr>
            </w:pPr>
          </w:p>
        </w:tc>
        <w:tc>
          <w:tcPr>
            <w:tcW w:w="3120" w:type="dxa"/>
            <w:gridSpan w:val="2"/>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The Constitution of Kenya, 2010</w:t>
            </w:r>
          </w:p>
        </w:tc>
        <w:tc>
          <w:tcPr>
            <w:tcW w:w="2554" w:type="dxa"/>
          </w:tcPr>
          <w:p w:rsidR="004520FD" w:rsidRPr="004A76D7" w:rsidRDefault="004520FD" w:rsidP="000E7DFC">
            <w:pPr>
              <w:spacing w:before="240" w:after="240"/>
              <w:jc w:val="both"/>
              <w:rPr>
                <w:rFonts w:ascii="Rockwell" w:eastAsia="Rockwell" w:hAnsi="Rockwell" w:cs="Rockwell"/>
                <w:sz w:val="24"/>
                <w:szCs w:val="24"/>
              </w:rPr>
            </w:pPr>
            <w:bookmarkStart w:id="13" w:name="_heading=h.gjdgxs" w:colFirst="0" w:colLast="0"/>
            <w:bookmarkEnd w:id="13"/>
            <w:r w:rsidRPr="004A76D7">
              <w:rPr>
                <w:rFonts w:ascii="Rockwell" w:eastAsia="Rockwell" w:hAnsi="Rockwell" w:cs="Rockwell"/>
                <w:sz w:val="24"/>
                <w:szCs w:val="24"/>
              </w:rPr>
              <w:t>Art. 42 -every person has the right to a clean and healthy environment, which includes the right:</w:t>
            </w:r>
          </w:p>
          <w:p w:rsidR="004520FD" w:rsidRPr="004A76D7" w:rsidRDefault="004520FD" w:rsidP="000E7DFC">
            <w:pPr>
              <w:spacing w:before="240" w:after="240"/>
              <w:ind w:left="720"/>
              <w:jc w:val="both"/>
              <w:rPr>
                <w:rFonts w:ascii="Rockwell" w:eastAsia="Rockwell" w:hAnsi="Rockwell" w:cs="Rockwell"/>
                <w:b/>
                <w:sz w:val="24"/>
                <w:szCs w:val="24"/>
              </w:rPr>
            </w:pPr>
            <w:r w:rsidRPr="004A76D7">
              <w:rPr>
                <w:rFonts w:ascii="Rockwell" w:eastAsia="Rockwell" w:hAnsi="Rockwell" w:cs="Rockwell"/>
                <w:sz w:val="24"/>
                <w:szCs w:val="24"/>
              </w:rPr>
              <w:t>(a) to have the environment protected for the benefit of present and future generations through legislative and other measures, particularly those contemplated in Article 69; and 70</w:t>
            </w:r>
          </w:p>
        </w:tc>
        <w:tc>
          <w:tcPr>
            <w:tcW w:w="2410" w:type="dxa"/>
          </w:tcPr>
          <w:p w:rsidR="004520FD" w:rsidRPr="004A76D7" w:rsidRDefault="004520FD" w:rsidP="000E7DFC">
            <w:pPr>
              <w:jc w:val="both"/>
              <w:rPr>
                <w:rFonts w:ascii="Rockwell" w:eastAsia="Rockwell" w:hAnsi="Rockwell" w:cs="Rockwell"/>
                <w:b/>
                <w:sz w:val="24"/>
                <w:szCs w:val="24"/>
              </w:rPr>
            </w:pPr>
          </w:p>
        </w:tc>
        <w:tc>
          <w:tcPr>
            <w:tcW w:w="1985" w:type="dxa"/>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Ministry of Environment, Climate Change and Forestry,  Ministry of Mining, Blue Economy and Maritime Affairs, NEMA, SDM</w:t>
            </w:r>
          </w:p>
        </w:tc>
      </w:tr>
      <w:tr w:rsidR="004520FD" w:rsidRPr="004A76D7" w:rsidTr="00EC7926">
        <w:trPr>
          <w:trHeight w:val="1381"/>
        </w:trPr>
        <w:tc>
          <w:tcPr>
            <w:tcW w:w="705" w:type="dxa"/>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1.</w:t>
            </w:r>
          </w:p>
        </w:tc>
        <w:tc>
          <w:tcPr>
            <w:tcW w:w="990" w:type="dxa"/>
            <w:vMerge w:val="restart"/>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Policy</w:t>
            </w:r>
          </w:p>
        </w:tc>
        <w:tc>
          <w:tcPr>
            <w:tcW w:w="2130" w:type="dxa"/>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National Environment Policy, sessional paper no 10 of 2013</w:t>
            </w:r>
          </w:p>
        </w:tc>
        <w:tc>
          <w:tcPr>
            <w:tcW w:w="2554" w:type="dxa"/>
          </w:tcPr>
          <w:p w:rsidR="009B4D81"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Chapter 4 which also covers minerals in Kenya which encourages sustainable mining</w:t>
            </w:r>
            <w:r w:rsidR="009B4D81" w:rsidRPr="004A76D7">
              <w:rPr>
                <w:rFonts w:ascii="Rockwell" w:eastAsia="Rockwell" w:hAnsi="Rockwell" w:cs="Rockwell"/>
                <w:sz w:val="24"/>
                <w:szCs w:val="24"/>
              </w:rPr>
              <w:t xml:space="preserve"> and provide for economic incentive for establishment </w:t>
            </w:r>
            <w:r w:rsidR="009B4D81" w:rsidRPr="004A76D7">
              <w:rPr>
                <w:rFonts w:ascii="Rockwell" w:eastAsia="Rockwell" w:hAnsi="Rockwell" w:cs="Rockwell"/>
                <w:sz w:val="24"/>
                <w:szCs w:val="24"/>
              </w:rPr>
              <w:lastRenderedPageBreak/>
              <w:t>that adopts environmental friendly technologies</w:t>
            </w:r>
          </w:p>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 xml:space="preserve"> </w:t>
            </w:r>
          </w:p>
        </w:tc>
        <w:tc>
          <w:tcPr>
            <w:tcW w:w="2410" w:type="dxa"/>
          </w:tcPr>
          <w:p w:rsidR="004520FD" w:rsidRPr="004A76D7" w:rsidRDefault="004520FD" w:rsidP="000E7DFC">
            <w:pPr>
              <w:jc w:val="both"/>
              <w:rPr>
                <w:rFonts w:ascii="Rockwell" w:eastAsia="Rockwell" w:hAnsi="Rockwell" w:cs="Rockwell"/>
                <w:sz w:val="24"/>
                <w:szCs w:val="24"/>
              </w:rPr>
            </w:pPr>
          </w:p>
        </w:tc>
        <w:tc>
          <w:tcPr>
            <w:tcW w:w="1985" w:type="dxa"/>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Ministry of Environment, Climate Change and Forestry, NEMA, NECC</w:t>
            </w:r>
          </w:p>
        </w:tc>
      </w:tr>
      <w:tr w:rsidR="004520FD" w:rsidRPr="004A76D7" w:rsidTr="00EC7926">
        <w:trPr>
          <w:trHeight w:val="1545"/>
        </w:trPr>
        <w:tc>
          <w:tcPr>
            <w:tcW w:w="705" w:type="dxa"/>
          </w:tcPr>
          <w:p w:rsidR="004520FD" w:rsidRPr="004A76D7" w:rsidRDefault="004520FD" w:rsidP="000E7DFC">
            <w:pPr>
              <w:jc w:val="both"/>
              <w:rPr>
                <w:rFonts w:ascii="Rockwell" w:eastAsia="Rockwell" w:hAnsi="Rockwell" w:cs="Rockwell"/>
                <w:sz w:val="24"/>
                <w:szCs w:val="24"/>
              </w:rPr>
            </w:pPr>
          </w:p>
        </w:tc>
        <w:tc>
          <w:tcPr>
            <w:tcW w:w="990" w:type="dxa"/>
            <w:vMerge/>
          </w:tcPr>
          <w:p w:rsidR="004520FD" w:rsidRPr="004A76D7" w:rsidRDefault="004520FD" w:rsidP="000E7DFC">
            <w:pPr>
              <w:pBdr>
                <w:top w:val="nil"/>
                <w:left w:val="nil"/>
                <w:bottom w:val="nil"/>
                <w:right w:val="nil"/>
                <w:between w:val="nil"/>
              </w:pBdr>
              <w:jc w:val="both"/>
              <w:rPr>
                <w:rFonts w:ascii="Rockwell" w:eastAsia="Rockwell" w:hAnsi="Rockwell" w:cs="Rockwell"/>
                <w:sz w:val="24"/>
                <w:szCs w:val="24"/>
              </w:rPr>
            </w:pPr>
          </w:p>
        </w:tc>
        <w:tc>
          <w:tcPr>
            <w:tcW w:w="2130" w:type="dxa"/>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Mining and Minerals Policy, sessional paper no 7 of 2016</w:t>
            </w:r>
          </w:p>
        </w:tc>
        <w:tc>
          <w:tcPr>
            <w:tcW w:w="2554" w:type="dxa"/>
          </w:tcPr>
          <w:p w:rsidR="004520FD" w:rsidRPr="004A76D7" w:rsidRDefault="00BB518F" w:rsidP="000E7DFC">
            <w:pPr>
              <w:jc w:val="both"/>
              <w:rPr>
                <w:rFonts w:ascii="Rockwell" w:eastAsia="Rockwell" w:hAnsi="Rockwell" w:cs="Rockwell"/>
                <w:sz w:val="24"/>
                <w:szCs w:val="24"/>
              </w:rPr>
            </w:pPr>
            <w:r w:rsidRPr="00BB518F">
              <w:rPr>
                <w:rFonts w:ascii="Rockwell" w:eastAsia="Rockwell" w:hAnsi="Rockwell" w:cs="Rockwell"/>
                <w:sz w:val="24"/>
                <w:szCs w:val="24"/>
              </w:rPr>
              <w:t>Section 3.4.5 – covers Health Safety</w:t>
            </w:r>
            <w:r>
              <w:rPr>
                <w:rFonts w:ascii="Rockwell" w:eastAsia="Rockwell" w:hAnsi="Rockwell" w:cs="Rockwell"/>
                <w:sz w:val="24"/>
                <w:szCs w:val="24"/>
              </w:rPr>
              <w:t xml:space="preserve"> and Environmental regulations in Mining to operate within the approved national and where necessary international standards of health, safety, human rights and environmental protection </w:t>
            </w:r>
          </w:p>
          <w:p w:rsidR="004520FD" w:rsidRPr="004A76D7" w:rsidRDefault="004520FD" w:rsidP="000E7DFC">
            <w:pPr>
              <w:jc w:val="both"/>
              <w:rPr>
                <w:rFonts w:ascii="Rockwell" w:eastAsia="Rockwell" w:hAnsi="Rockwell" w:cs="Rockwell"/>
                <w:sz w:val="24"/>
                <w:szCs w:val="24"/>
              </w:rPr>
            </w:pPr>
          </w:p>
          <w:p w:rsidR="004520FD" w:rsidRPr="004A76D7" w:rsidRDefault="004520FD" w:rsidP="000E7DFC">
            <w:pPr>
              <w:jc w:val="both"/>
              <w:rPr>
                <w:rFonts w:ascii="Rockwell" w:eastAsia="Rockwell" w:hAnsi="Rockwell" w:cs="Rockwell"/>
                <w:sz w:val="24"/>
                <w:szCs w:val="24"/>
              </w:rPr>
            </w:pPr>
          </w:p>
        </w:tc>
        <w:tc>
          <w:tcPr>
            <w:tcW w:w="2410" w:type="dxa"/>
          </w:tcPr>
          <w:p w:rsidR="004520FD" w:rsidRPr="004A76D7" w:rsidRDefault="004520FD" w:rsidP="000E7DFC">
            <w:pPr>
              <w:jc w:val="both"/>
              <w:rPr>
                <w:rFonts w:ascii="Rockwell" w:eastAsia="Rockwell" w:hAnsi="Rockwell" w:cs="Rockwell"/>
                <w:sz w:val="24"/>
                <w:szCs w:val="24"/>
              </w:rPr>
            </w:pPr>
          </w:p>
        </w:tc>
        <w:tc>
          <w:tcPr>
            <w:tcW w:w="1985" w:type="dxa"/>
          </w:tcPr>
          <w:p w:rsidR="004520FD" w:rsidRPr="004A76D7" w:rsidRDefault="004520FD" w:rsidP="00BB518F">
            <w:pPr>
              <w:jc w:val="both"/>
              <w:rPr>
                <w:rFonts w:ascii="Rockwell" w:eastAsia="Rockwell" w:hAnsi="Rockwell" w:cs="Rockwell"/>
                <w:sz w:val="24"/>
                <w:szCs w:val="24"/>
              </w:rPr>
            </w:pPr>
            <w:proofErr w:type="spellStart"/>
            <w:r w:rsidRPr="004A76D7">
              <w:rPr>
                <w:rFonts w:ascii="Rockwell" w:eastAsia="Rockwell" w:hAnsi="Rockwell" w:cs="Rockwell"/>
                <w:sz w:val="24"/>
                <w:szCs w:val="24"/>
              </w:rPr>
              <w:t>Do</w:t>
            </w:r>
            <w:r w:rsidR="00BB518F">
              <w:rPr>
                <w:rFonts w:ascii="Rockwell" w:eastAsia="Rockwell" w:hAnsi="Rockwell" w:cs="Rockwell"/>
                <w:sz w:val="24"/>
                <w:szCs w:val="24"/>
              </w:rPr>
              <w:t>LC&amp;E</w:t>
            </w:r>
            <w:proofErr w:type="spellEnd"/>
            <w:r w:rsidRPr="004A76D7">
              <w:rPr>
                <w:rFonts w:ascii="Rockwell" w:eastAsia="Rockwell" w:hAnsi="Rockwell" w:cs="Rockwell"/>
                <w:sz w:val="24"/>
                <w:szCs w:val="24"/>
              </w:rPr>
              <w:t xml:space="preserve">, </w:t>
            </w:r>
            <w:proofErr w:type="spellStart"/>
            <w:r w:rsidRPr="004A76D7">
              <w:rPr>
                <w:rFonts w:ascii="Rockwell" w:eastAsia="Rockwell" w:hAnsi="Rockwell" w:cs="Rockwell"/>
                <w:sz w:val="24"/>
                <w:szCs w:val="24"/>
              </w:rPr>
              <w:t>DoGS</w:t>
            </w:r>
            <w:proofErr w:type="spellEnd"/>
            <w:r w:rsidRPr="004A76D7">
              <w:rPr>
                <w:rFonts w:ascii="Rockwell" w:eastAsia="Rockwell" w:hAnsi="Rockwell" w:cs="Rockwell"/>
                <w:sz w:val="24"/>
                <w:szCs w:val="24"/>
              </w:rPr>
              <w:t>, N</w:t>
            </w:r>
            <w:r w:rsidR="00BB518F">
              <w:rPr>
                <w:rFonts w:ascii="Rockwell" w:eastAsia="Rockwell" w:hAnsi="Rockwell" w:cs="Rockwell"/>
                <w:sz w:val="24"/>
                <w:szCs w:val="24"/>
              </w:rPr>
              <w:t>AMICO</w:t>
            </w:r>
            <w:r w:rsidRPr="004A76D7">
              <w:rPr>
                <w:rFonts w:ascii="Rockwell" w:eastAsia="Rockwell" w:hAnsi="Rockwell" w:cs="Rockwell"/>
                <w:sz w:val="24"/>
                <w:szCs w:val="24"/>
              </w:rPr>
              <w:t>, DRSRS, AMCs</w:t>
            </w:r>
            <w:r w:rsidR="00BB518F">
              <w:rPr>
                <w:rFonts w:ascii="Rockwell" w:eastAsia="Rockwell" w:hAnsi="Rockwell" w:cs="Rockwell"/>
                <w:sz w:val="24"/>
                <w:szCs w:val="24"/>
              </w:rPr>
              <w:t>, MRB</w:t>
            </w:r>
          </w:p>
        </w:tc>
      </w:tr>
      <w:tr w:rsidR="004520FD" w:rsidRPr="004A76D7" w:rsidTr="00EC7926">
        <w:trPr>
          <w:trHeight w:val="1545"/>
        </w:trPr>
        <w:tc>
          <w:tcPr>
            <w:tcW w:w="705" w:type="dxa"/>
          </w:tcPr>
          <w:p w:rsidR="004520FD" w:rsidRPr="004A76D7" w:rsidRDefault="004520FD" w:rsidP="000E7DFC">
            <w:pPr>
              <w:jc w:val="both"/>
              <w:rPr>
                <w:rFonts w:ascii="Rockwell" w:eastAsia="Rockwell" w:hAnsi="Rockwell" w:cs="Rockwell"/>
                <w:sz w:val="24"/>
                <w:szCs w:val="24"/>
              </w:rPr>
            </w:pPr>
          </w:p>
        </w:tc>
        <w:tc>
          <w:tcPr>
            <w:tcW w:w="990" w:type="dxa"/>
          </w:tcPr>
          <w:p w:rsidR="004520FD" w:rsidRPr="004A76D7" w:rsidRDefault="004520FD" w:rsidP="000E7DFC">
            <w:pPr>
              <w:pBdr>
                <w:top w:val="nil"/>
                <w:left w:val="nil"/>
                <w:bottom w:val="nil"/>
                <w:right w:val="nil"/>
                <w:between w:val="nil"/>
              </w:pBdr>
              <w:jc w:val="both"/>
              <w:rPr>
                <w:rFonts w:ascii="Rockwell" w:eastAsia="Rockwell" w:hAnsi="Rockwell" w:cs="Rockwell"/>
                <w:sz w:val="24"/>
                <w:szCs w:val="24"/>
              </w:rPr>
            </w:pPr>
          </w:p>
        </w:tc>
        <w:tc>
          <w:tcPr>
            <w:tcW w:w="2130" w:type="dxa"/>
            <w:shd w:val="clear" w:color="auto" w:fill="FFFFFF" w:themeFill="background1"/>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National Action Plan on Business and Human Rights: Sessional Paper No.3</w:t>
            </w:r>
            <w:r w:rsidR="009B4D81" w:rsidRPr="004A76D7">
              <w:rPr>
                <w:rFonts w:ascii="Rockwell" w:eastAsia="Rockwell" w:hAnsi="Rockwell" w:cs="Rockwell"/>
                <w:sz w:val="24"/>
                <w:szCs w:val="24"/>
              </w:rPr>
              <w:t>, 2021</w:t>
            </w:r>
          </w:p>
        </w:tc>
        <w:tc>
          <w:tcPr>
            <w:tcW w:w="2554" w:type="dxa"/>
            <w:shd w:val="clear" w:color="auto" w:fill="FFFFFF" w:themeFill="background1"/>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Policy actions under Pillar 2 of the U</w:t>
            </w:r>
            <w:r w:rsidR="009B4D81" w:rsidRPr="004A76D7">
              <w:rPr>
                <w:rFonts w:ascii="Rockwell" w:eastAsia="Rockwell" w:hAnsi="Rockwell" w:cs="Rockwell"/>
                <w:sz w:val="24"/>
                <w:szCs w:val="24"/>
              </w:rPr>
              <w:t xml:space="preserve">nited </w:t>
            </w:r>
            <w:r w:rsidRPr="004A76D7">
              <w:rPr>
                <w:rFonts w:ascii="Rockwell" w:eastAsia="Rockwell" w:hAnsi="Rockwell" w:cs="Rockwell"/>
                <w:sz w:val="24"/>
                <w:szCs w:val="24"/>
              </w:rPr>
              <w:t>N</w:t>
            </w:r>
            <w:r w:rsidR="009B4D81" w:rsidRPr="004A76D7">
              <w:rPr>
                <w:rFonts w:ascii="Rockwell" w:eastAsia="Rockwell" w:hAnsi="Rockwell" w:cs="Rockwell"/>
                <w:sz w:val="24"/>
                <w:szCs w:val="24"/>
              </w:rPr>
              <w:t xml:space="preserve">ations </w:t>
            </w:r>
            <w:r w:rsidRPr="004A76D7">
              <w:rPr>
                <w:rFonts w:ascii="Rockwell" w:eastAsia="Rockwell" w:hAnsi="Rockwell" w:cs="Rockwell"/>
                <w:sz w:val="24"/>
                <w:szCs w:val="24"/>
              </w:rPr>
              <w:t>G</w:t>
            </w:r>
            <w:r w:rsidR="009B4D81" w:rsidRPr="004A76D7">
              <w:rPr>
                <w:rFonts w:ascii="Rockwell" w:eastAsia="Rockwell" w:hAnsi="Rockwell" w:cs="Rockwell"/>
                <w:sz w:val="24"/>
                <w:szCs w:val="24"/>
              </w:rPr>
              <w:t xml:space="preserve">uiding </w:t>
            </w:r>
            <w:r w:rsidRPr="004A76D7">
              <w:rPr>
                <w:rFonts w:ascii="Rockwell" w:eastAsia="Rockwell" w:hAnsi="Rockwell" w:cs="Rockwell"/>
                <w:sz w:val="24"/>
                <w:szCs w:val="24"/>
              </w:rPr>
              <w:t>P</w:t>
            </w:r>
            <w:r w:rsidR="009B4D81" w:rsidRPr="004A76D7">
              <w:rPr>
                <w:rFonts w:ascii="Rockwell" w:eastAsia="Rockwell" w:hAnsi="Rockwell" w:cs="Rockwell"/>
                <w:sz w:val="24"/>
                <w:szCs w:val="24"/>
              </w:rPr>
              <w:t>rinciples (UNGP) on business and human right</w:t>
            </w:r>
            <w:r w:rsidRPr="004A76D7">
              <w:rPr>
                <w:rFonts w:ascii="Rockwell" w:eastAsia="Rockwell" w:hAnsi="Rockwell" w:cs="Rockwell"/>
                <w:sz w:val="24"/>
                <w:szCs w:val="24"/>
              </w:rPr>
              <w:t>s. This requires businesses to carry out human rights due diligence in their operations to prevent, mitigate and account for adverse human rights impacts</w:t>
            </w:r>
          </w:p>
        </w:tc>
        <w:tc>
          <w:tcPr>
            <w:tcW w:w="2410" w:type="dxa"/>
            <w:shd w:val="clear" w:color="auto" w:fill="FFFFFF" w:themeFill="background1"/>
          </w:tcPr>
          <w:p w:rsidR="004520FD" w:rsidRPr="004A76D7" w:rsidRDefault="004520FD" w:rsidP="000E7DFC">
            <w:pPr>
              <w:jc w:val="both"/>
              <w:rPr>
                <w:rFonts w:ascii="Rockwell" w:eastAsia="Rockwell" w:hAnsi="Rockwell" w:cs="Rockwell"/>
                <w:sz w:val="24"/>
                <w:szCs w:val="24"/>
              </w:rPr>
            </w:pPr>
          </w:p>
        </w:tc>
        <w:tc>
          <w:tcPr>
            <w:tcW w:w="1985" w:type="dxa"/>
            <w:shd w:val="clear" w:color="auto" w:fill="FFFFFF" w:themeFill="background1"/>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All businesses, KNCHR, D</w:t>
            </w:r>
            <w:r w:rsidR="009B4D81" w:rsidRPr="004A76D7">
              <w:rPr>
                <w:rFonts w:ascii="Rockwell" w:eastAsia="Rockwell" w:hAnsi="Rockwell" w:cs="Rockwell"/>
                <w:sz w:val="24"/>
                <w:szCs w:val="24"/>
              </w:rPr>
              <w:t>epartment of Justice (D</w:t>
            </w:r>
            <w:r w:rsidRPr="004A76D7">
              <w:rPr>
                <w:rFonts w:ascii="Rockwell" w:eastAsia="Rockwell" w:hAnsi="Rockwell" w:cs="Rockwell"/>
                <w:sz w:val="24"/>
                <w:szCs w:val="24"/>
              </w:rPr>
              <w:t>OJ</w:t>
            </w:r>
            <w:r w:rsidR="009B4D81" w:rsidRPr="004A76D7">
              <w:rPr>
                <w:rFonts w:ascii="Rockwell" w:eastAsia="Rockwell" w:hAnsi="Rockwell" w:cs="Rockwell"/>
                <w:sz w:val="24"/>
                <w:szCs w:val="24"/>
              </w:rPr>
              <w:t>)</w:t>
            </w:r>
            <w:r w:rsidRPr="004A76D7">
              <w:rPr>
                <w:rFonts w:ascii="Rockwell" w:eastAsia="Rockwell" w:hAnsi="Rockwell" w:cs="Rockwell"/>
                <w:sz w:val="24"/>
                <w:szCs w:val="24"/>
              </w:rPr>
              <w:t xml:space="preserve"> and the National Implementation Committee on N</w:t>
            </w:r>
            <w:r w:rsidR="009B4D81" w:rsidRPr="004A76D7">
              <w:rPr>
                <w:rFonts w:ascii="Rockwell" w:eastAsia="Rockwell" w:hAnsi="Rockwell" w:cs="Rockwell"/>
                <w:sz w:val="24"/>
                <w:szCs w:val="24"/>
              </w:rPr>
              <w:t>ational Action Plan (N</w:t>
            </w:r>
            <w:r w:rsidRPr="004A76D7">
              <w:rPr>
                <w:rFonts w:ascii="Rockwell" w:eastAsia="Rockwell" w:hAnsi="Rockwell" w:cs="Rockwell"/>
                <w:sz w:val="24"/>
                <w:szCs w:val="24"/>
              </w:rPr>
              <w:t>AP</w:t>
            </w:r>
            <w:r w:rsidR="009B4D81" w:rsidRPr="004A76D7">
              <w:rPr>
                <w:rFonts w:ascii="Rockwell" w:eastAsia="Rockwell" w:hAnsi="Rockwell" w:cs="Rockwell"/>
                <w:sz w:val="24"/>
                <w:szCs w:val="24"/>
              </w:rPr>
              <w:t>) on business and human rights</w:t>
            </w:r>
          </w:p>
        </w:tc>
      </w:tr>
      <w:tr w:rsidR="00626AE3" w:rsidRPr="004A76D7" w:rsidTr="008B6AF9">
        <w:trPr>
          <w:trHeight w:val="841"/>
        </w:trPr>
        <w:tc>
          <w:tcPr>
            <w:tcW w:w="705" w:type="dxa"/>
          </w:tcPr>
          <w:p w:rsidR="00626AE3" w:rsidRPr="004A76D7" w:rsidRDefault="00626AE3" w:rsidP="000E7DFC">
            <w:pPr>
              <w:jc w:val="both"/>
              <w:rPr>
                <w:rFonts w:ascii="Rockwell" w:eastAsia="Rockwell" w:hAnsi="Rockwell" w:cs="Rockwell"/>
                <w:sz w:val="24"/>
                <w:szCs w:val="24"/>
              </w:rPr>
            </w:pPr>
          </w:p>
        </w:tc>
        <w:tc>
          <w:tcPr>
            <w:tcW w:w="990" w:type="dxa"/>
          </w:tcPr>
          <w:p w:rsidR="00626AE3" w:rsidRPr="004A76D7" w:rsidRDefault="00626AE3" w:rsidP="000E7DFC">
            <w:pPr>
              <w:pBdr>
                <w:top w:val="nil"/>
                <w:left w:val="nil"/>
                <w:bottom w:val="nil"/>
                <w:right w:val="nil"/>
                <w:between w:val="nil"/>
              </w:pBdr>
              <w:jc w:val="both"/>
              <w:rPr>
                <w:rFonts w:ascii="Rockwell" w:eastAsia="Rockwell" w:hAnsi="Rockwell" w:cs="Rockwell"/>
                <w:sz w:val="24"/>
                <w:szCs w:val="24"/>
              </w:rPr>
            </w:pPr>
          </w:p>
        </w:tc>
        <w:tc>
          <w:tcPr>
            <w:tcW w:w="2130" w:type="dxa"/>
            <w:shd w:val="clear" w:color="auto" w:fill="FFFFFF" w:themeFill="background1"/>
          </w:tcPr>
          <w:p w:rsidR="00626AE3" w:rsidRPr="004A76D7" w:rsidRDefault="00626AE3" w:rsidP="000E7DFC">
            <w:pPr>
              <w:jc w:val="both"/>
              <w:rPr>
                <w:rFonts w:ascii="Rockwell" w:eastAsia="Rockwell" w:hAnsi="Rockwell" w:cs="Rockwell"/>
                <w:sz w:val="24"/>
                <w:szCs w:val="24"/>
              </w:rPr>
            </w:pPr>
            <w:r>
              <w:rPr>
                <w:rFonts w:ascii="Rockwell" w:eastAsia="Rockwell" w:hAnsi="Rockwell" w:cs="Rockwell"/>
                <w:sz w:val="24"/>
                <w:szCs w:val="24"/>
              </w:rPr>
              <w:t>Occupational Safety and Health Policy</w:t>
            </w:r>
          </w:p>
        </w:tc>
        <w:tc>
          <w:tcPr>
            <w:tcW w:w="2554" w:type="dxa"/>
            <w:shd w:val="clear" w:color="auto" w:fill="FFFFFF" w:themeFill="background1"/>
          </w:tcPr>
          <w:p w:rsidR="008B6AF9" w:rsidRDefault="00BB518F" w:rsidP="000E7DFC">
            <w:pPr>
              <w:jc w:val="both"/>
              <w:rPr>
                <w:rFonts w:ascii="Rockwell" w:eastAsia="Rockwell" w:hAnsi="Rockwell" w:cs="Rockwell"/>
                <w:sz w:val="24"/>
                <w:szCs w:val="24"/>
              </w:rPr>
            </w:pPr>
            <w:r>
              <w:rPr>
                <w:rFonts w:ascii="Rockwell" w:eastAsia="Rockwell" w:hAnsi="Rockwell" w:cs="Rockwell"/>
                <w:sz w:val="24"/>
                <w:szCs w:val="24"/>
              </w:rPr>
              <w:t>Section 3.1.15 – covers high risk sectors</w:t>
            </w:r>
            <w:r w:rsidR="008B6AF9">
              <w:rPr>
                <w:rFonts w:ascii="Rockwell" w:eastAsia="Rockwell" w:hAnsi="Rockwell" w:cs="Rockwell"/>
                <w:sz w:val="24"/>
                <w:szCs w:val="24"/>
              </w:rPr>
              <w:t xml:space="preserve"> and DOSHS is required to formulate, set, enforce and review OSH standards for specific sectors of the economy.</w:t>
            </w:r>
          </w:p>
          <w:p w:rsidR="008B6AF9" w:rsidRDefault="008B6AF9" w:rsidP="000E7DFC">
            <w:pPr>
              <w:jc w:val="both"/>
              <w:rPr>
                <w:rFonts w:ascii="Rockwell" w:eastAsia="Rockwell" w:hAnsi="Rockwell" w:cs="Rockwell"/>
                <w:sz w:val="24"/>
                <w:szCs w:val="24"/>
              </w:rPr>
            </w:pPr>
          </w:p>
          <w:p w:rsidR="00626AE3" w:rsidRPr="004A76D7" w:rsidRDefault="008B6AF9" w:rsidP="000E7DFC">
            <w:pPr>
              <w:jc w:val="both"/>
              <w:rPr>
                <w:rFonts w:ascii="Rockwell" w:eastAsia="Rockwell" w:hAnsi="Rockwell" w:cs="Rockwell"/>
                <w:sz w:val="24"/>
                <w:szCs w:val="24"/>
              </w:rPr>
            </w:pPr>
            <w:r>
              <w:rPr>
                <w:rFonts w:ascii="Rockwell" w:eastAsia="Rockwell" w:hAnsi="Rockwell" w:cs="Rockwell"/>
                <w:sz w:val="24"/>
                <w:szCs w:val="24"/>
              </w:rPr>
              <w:lastRenderedPageBreak/>
              <w:t xml:space="preserve">Coordinate the collaboration with </w:t>
            </w:r>
            <w:proofErr w:type="gramStart"/>
            <w:r>
              <w:rPr>
                <w:rFonts w:ascii="Rockwell" w:eastAsia="Rockwell" w:hAnsi="Rockwell" w:cs="Rockwell"/>
                <w:sz w:val="24"/>
                <w:szCs w:val="24"/>
              </w:rPr>
              <w:t>various  sectors</w:t>
            </w:r>
            <w:proofErr w:type="gramEnd"/>
            <w:r>
              <w:rPr>
                <w:rFonts w:ascii="Rockwell" w:eastAsia="Rockwell" w:hAnsi="Rockwell" w:cs="Rockwell"/>
                <w:sz w:val="24"/>
                <w:szCs w:val="24"/>
              </w:rPr>
              <w:t xml:space="preserve"> that are involved in high risk works activities that relate to safety and health matters.</w:t>
            </w:r>
          </w:p>
        </w:tc>
        <w:tc>
          <w:tcPr>
            <w:tcW w:w="2410" w:type="dxa"/>
            <w:shd w:val="clear" w:color="auto" w:fill="FFFFFF" w:themeFill="background1"/>
          </w:tcPr>
          <w:p w:rsidR="00626AE3" w:rsidRPr="004A76D7" w:rsidRDefault="00626AE3" w:rsidP="000E7DFC">
            <w:pPr>
              <w:jc w:val="both"/>
              <w:rPr>
                <w:rFonts w:ascii="Rockwell" w:eastAsia="Rockwell" w:hAnsi="Rockwell" w:cs="Rockwell"/>
                <w:sz w:val="24"/>
                <w:szCs w:val="24"/>
              </w:rPr>
            </w:pPr>
          </w:p>
        </w:tc>
        <w:tc>
          <w:tcPr>
            <w:tcW w:w="1985" w:type="dxa"/>
            <w:shd w:val="clear" w:color="auto" w:fill="FFFFFF" w:themeFill="background1"/>
          </w:tcPr>
          <w:p w:rsidR="00626AE3" w:rsidRPr="004A76D7" w:rsidRDefault="008B6AF9" w:rsidP="000E7DFC">
            <w:pPr>
              <w:jc w:val="both"/>
              <w:rPr>
                <w:rFonts w:ascii="Rockwell" w:eastAsia="Rockwell" w:hAnsi="Rockwell" w:cs="Rockwell"/>
                <w:sz w:val="24"/>
                <w:szCs w:val="24"/>
              </w:rPr>
            </w:pPr>
            <w:r>
              <w:rPr>
                <w:rFonts w:ascii="Rockwell" w:eastAsia="Rockwell" w:hAnsi="Rockwell" w:cs="Rockwell"/>
                <w:sz w:val="24"/>
                <w:szCs w:val="24"/>
              </w:rPr>
              <w:t>DOSHS</w:t>
            </w:r>
          </w:p>
        </w:tc>
      </w:tr>
      <w:tr w:rsidR="00626AE3" w:rsidRPr="004A76D7" w:rsidTr="00EC7926">
        <w:trPr>
          <w:trHeight w:val="1545"/>
        </w:trPr>
        <w:tc>
          <w:tcPr>
            <w:tcW w:w="705" w:type="dxa"/>
          </w:tcPr>
          <w:p w:rsidR="00626AE3" w:rsidRPr="004A76D7" w:rsidRDefault="00626AE3" w:rsidP="000E7DFC">
            <w:pPr>
              <w:jc w:val="both"/>
              <w:rPr>
                <w:rFonts w:ascii="Rockwell" w:eastAsia="Rockwell" w:hAnsi="Rockwell" w:cs="Rockwell"/>
                <w:sz w:val="24"/>
                <w:szCs w:val="24"/>
              </w:rPr>
            </w:pPr>
          </w:p>
        </w:tc>
        <w:tc>
          <w:tcPr>
            <w:tcW w:w="990" w:type="dxa"/>
          </w:tcPr>
          <w:p w:rsidR="00626AE3" w:rsidRPr="004A76D7" w:rsidRDefault="00626AE3" w:rsidP="000E7DFC">
            <w:pPr>
              <w:pBdr>
                <w:top w:val="nil"/>
                <w:left w:val="nil"/>
                <w:bottom w:val="nil"/>
                <w:right w:val="nil"/>
                <w:between w:val="nil"/>
              </w:pBdr>
              <w:jc w:val="both"/>
              <w:rPr>
                <w:rFonts w:ascii="Rockwell" w:eastAsia="Rockwell" w:hAnsi="Rockwell" w:cs="Rockwell"/>
                <w:sz w:val="24"/>
                <w:szCs w:val="24"/>
              </w:rPr>
            </w:pPr>
          </w:p>
        </w:tc>
        <w:tc>
          <w:tcPr>
            <w:tcW w:w="2130" w:type="dxa"/>
            <w:shd w:val="clear" w:color="auto" w:fill="FFFFFF" w:themeFill="background1"/>
          </w:tcPr>
          <w:p w:rsidR="00626AE3" w:rsidRDefault="008B6AF9" w:rsidP="000E7DFC">
            <w:pPr>
              <w:jc w:val="both"/>
              <w:rPr>
                <w:rFonts w:ascii="Rockwell" w:eastAsia="Rockwell" w:hAnsi="Rockwell" w:cs="Rockwell"/>
                <w:sz w:val="24"/>
                <w:szCs w:val="24"/>
              </w:rPr>
            </w:pPr>
            <w:r>
              <w:rPr>
                <w:rFonts w:ascii="Rockwell" w:eastAsia="Rockwell" w:hAnsi="Rockwell" w:cs="Rockwell"/>
                <w:sz w:val="24"/>
                <w:szCs w:val="24"/>
              </w:rPr>
              <w:t>Kenya Investment Policy, 2019</w:t>
            </w:r>
          </w:p>
        </w:tc>
        <w:tc>
          <w:tcPr>
            <w:tcW w:w="2554" w:type="dxa"/>
            <w:shd w:val="clear" w:color="auto" w:fill="FFFFFF" w:themeFill="background1"/>
          </w:tcPr>
          <w:p w:rsidR="00626AE3" w:rsidRPr="004A76D7" w:rsidRDefault="008B6AF9" w:rsidP="000E7DFC">
            <w:pPr>
              <w:jc w:val="both"/>
              <w:rPr>
                <w:rFonts w:ascii="Rockwell" w:eastAsia="Rockwell" w:hAnsi="Rockwell" w:cs="Rockwell"/>
                <w:sz w:val="24"/>
                <w:szCs w:val="24"/>
              </w:rPr>
            </w:pPr>
            <w:r>
              <w:rPr>
                <w:rFonts w:ascii="Rockwell" w:eastAsia="Rockwell" w:hAnsi="Rockwell" w:cs="Rockwell"/>
                <w:sz w:val="24"/>
                <w:szCs w:val="24"/>
              </w:rPr>
              <w:t>Aims to attract and grow investment for sustainable development, outline strategies for investment promotion, protection, incentives and responsible practices including for the mining sector</w:t>
            </w:r>
          </w:p>
        </w:tc>
        <w:tc>
          <w:tcPr>
            <w:tcW w:w="2410" w:type="dxa"/>
            <w:shd w:val="clear" w:color="auto" w:fill="FFFFFF" w:themeFill="background1"/>
          </w:tcPr>
          <w:p w:rsidR="00626AE3" w:rsidRPr="004A76D7" w:rsidRDefault="00626AE3" w:rsidP="000E7DFC">
            <w:pPr>
              <w:jc w:val="both"/>
              <w:rPr>
                <w:rFonts w:ascii="Rockwell" w:eastAsia="Rockwell" w:hAnsi="Rockwell" w:cs="Rockwell"/>
                <w:sz w:val="24"/>
                <w:szCs w:val="24"/>
              </w:rPr>
            </w:pPr>
          </w:p>
        </w:tc>
        <w:tc>
          <w:tcPr>
            <w:tcW w:w="1985" w:type="dxa"/>
            <w:shd w:val="clear" w:color="auto" w:fill="FFFFFF" w:themeFill="background1"/>
          </w:tcPr>
          <w:p w:rsidR="00626AE3" w:rsidRPr="004A76D7" w:rsidRDefault="008B6AF9" w:rsidP="000E7DFC">
            <w:pPr>
              <w:jc w:val="both"/>
              <w:rPr>
                <w:rFonts w:ascii="Rockwell" w:eastAsia="Rockwell" w:hAnsi="Rockwell" w:cs="Rockwell"/>
                <w:sz w:val="24"/>
                <w:szCs w:val="24"/>
              </w:rPr>
            </w:pPr>
            <w:r>
              <w:rPr>
                <w:rFonts w:ascii="Rockwell" w:eastAsia="Rockwell" w:hAnsi="Rockwell" w:cs="Rockwell"/>
                <w:sz w:val="24"/>
                <w:szCs w:val="24"/>
              </w:rPr>
              <w:t>State Department for Investment Promotion (SDIP), KENINVEST</w:t>
            </w:r>
          </w:p>
        </w:tc>
      </w:tr>
      <w:tr w:rsidR="008B6AF9" w:rsidRPr="004A76D7" w:rsidTr="00815815">
        <w:trPr>
          <w:trHeight w:val="978"/>
        </w:trPr>
        <w:tc>
          <w:tcPr>
            <w:tcW w:w="705" w:type="dxa"/>
          </w:tcPr>
          <w:p w:rsidR="008B6AF9" w:rsidRPr="004A76D7" w:rsidRDefault="008B6AF9" w:rsidP="000E7DFC">
            <w:pPr>
              <w:jc w:val="both"/>
              <w:rPr>
                <w:rFonts w:ascii="Rockwell" w:eastAsia="Rockwell" w:hAnsi="Rockwell" w:cs="Rockwell"/>
                <w:sz w:val="24"/>
                <w:szCs w:val="24"/>
              </w:rPr>
            </w:pPr>
          </w:p>
        </w:tc>
        <w:tc>
          <w:tcPr>
            <w:tcW w:w="990" w:type="dxa"/>
          </w:tcPr>
          <w:p w:rsidR="008B6AF9" w:rsidRPr="004A76D7" w:rsidRDefault="008B6AF9" w:rsidP="000E7DFC">
            <w:pPr>
              <w:pBdr>
                <w:top w:val="nil"/>
                <w:left w:val="nil"/>
                <w:bottom w:val="nil"/>
                <w:right w:val="nil"/>
                <w:between w:val="nil"/>
              </w:pBdr>
              <w:jc w:val="both"/>
              <w:rPr>
                <w:rFonts w:ascii="Rockwell" w:eastAsia="Rockwell" w:hAnsi="Rockwell" w:cs="Rockwell"/>
                <w:sz w:val="24"/>
                <w:szCs w:val="24"/>
              </w:rPr>
            </w:pPr>
          </w:p>
        </w:tc>
        <w:tc>
          <w:tcPr>
            <w:tcW w:w="2130" w:type="dxa"/>
            <w:shd w:val="clear" w:color="auto" w:fill="FFFFFF" w:themeFill="background1"/>
          </w:tcPr>
          <w:p w:rsidR="008B6AF9" w:rsidRDefault="008B6AF9" w:rsidP="000E7DFC">
            <w:pPr>
              <w:jc w:val="both"/>
              <w:rPr>
                <w:rFonts w:ascii="Rockwell" w:eastAsia="Rockwell" w:hAnsi="Rockwell" w:cs="Rockwell"/>
                <w:sz w:val="24"/>
                <w:szCs w:val="24"/>
              </w:rPr>
            </w:pPr>
            <w:r w:rsidRPr="00815815">
              <w:rPr>
                <w:rFonts w:ascii="Rockwell" w:eastAsia="Rockwell" w:hAnsi="Rockwell" w:cs="Rockwell"/>
                <w:sz w:val="24"/>
                <w:szCs w:val="24"/>
              </w:rPr>
              <w:t>Kenya Vision, 2030 and the Bottom Up Economic Transformation Agenda (BETA)</w:t>
            </w:r>
          </w:p>
        </w:tc>
        <w:tc>
          <w:tcPr>
            <w:tcW w:w="2554" w:type="dxa"/>
            <w:shd w:val="clear" w:color="auto" w:fill="FFFFFF" w:themeFill="background1"/>
          </w:tcPr>
          <w:p w:rsidR="008B6AF9" w:rsidRDefault="00815815" w:rsidP="000E7DFC">
            <w:pPr>
              <w:jc w:val="both"/>
              <w:rPr>
                <w:rFonts w:ascii="Rockwell" w:eastAsia="Rockwell" w:hAnsi="Rockwell" w:cs="Rockwell"/>
                <w:sz w:val="24"/>
                <w:szCs w:val="24"/>
              </w:rPr>
            </w:pPr>
            <w:r>
              <w:rPr>
                <w:rFonts w:ascii="Rockwell" w:eastAsia="Rockwell" w:hAnsi="Rockwell" w:cs="Rockwell"/>
                <w:sz w:val="24"/>
                <w:szCs w:val="24"/>
              </w:rPr>
              <w:t xml:space="preserve">National long-term development policy that aims to transform Kenya into a newly industrialized middle income country providing high quality of life to all its citizen by 2030 in a clean and secure environment. </w:t>
            </w:r>
          </w:p>
          <w:p w:rsidR="00815815" w:rsidRDefault="00815815" w:rsidP="000E7DFC">
            <w:pPr>
              <w:jc w:val="both"/>
              <w:rPr>
                <w:rFonts w:ascii="Rockwell" w:eastAsia="Rockwell" w:hAnsi="Rockwell" w:cs="Rockwell"/>
                <w:sz w:val="24"/>
                <w:szCs w:val="24"/>
              </w:rPr>
            </w:pPr>
          </w:p>
          <w:p w:rsidR="00815815" w:rsidRDefault="00815815" w:rsidP="000E7DFC">
            <w:pPr>
              <w:jc w:val="both"/>
              <w:rPr>
                <w:rFonts w:ascii="Rockwell" w:eastAsia="Rockwell" w:hAnsi="Rockwell" w:cs="Rockwell"/>
                <w:sz w:val="24"/>
                <w:szCs w:val="24"/>
              </w:rPr>
            </w:pPr>
            <w:r>
              <w:rPr>
                <w:rFonts w:ascii="Rockwell" w:eastAsia="Rockwell" w:hAnsi="Rockwell" w:cs="Rockwell"/>
                <w:sz w:val="24"/>
                <w:szCs w:val="24"/>
              </w:rPr>
              <w:t xml:space="preserve">BETA is an economic blue print hatched by the current Government regime to foster economic development and provide a solution to the various social economic problems with emphasis on food security, affordable housing, universal health </w:t>
            </w:r>
            <w:r>
              <w:rPr>
                <w:rFonts w:ascii="Rockwell" w:eastAsia="Rockwell" w:hAnsi="Rockwell" w:cs="Rockwell"/>
                <w:sz w:val="24"/>
                <w:szCs w:val="24"/>
              </w:rPr>
              <w:lastRenderedPageBreak/>
              <w:t xml:space="preserve">care, MSMEs and digital superhighway and creative economy </w:t>
            </w:r>
          </w:p>
        </w:tc>
        <w:tc>
          <w:tcPr>
            <w:tcW w:w="2410" w:type="dxa"/>
            <w:shd w:val="clear" w:color="auto" w:fill="FFFFFF" w:themeFill="background1"/>
          </w:tcPr>
          <w:p w:rsidR="008B6AF9" w:rsidRPr="004A76D7" w:rsidRDefault="008B6AF9" w:rsidP="000E7DFC">
            <w:pPr>
              <w:jc w:val="both"/>
              <w:rPr>
                <w:rFonts w:ascii="Rockwell" w:eastAsia="Rockwell" w:hAnsi="Rockwell" w:cs="Rockwell"/>
                <w:sz w:val="24"/>
                <w:szCs w:val="24"/>
              </w:rPr>
            </w:pPr>
          </w:p>
        </w:tc>
        <w:tc>
          <w:tcPr>
            <w:tcW w:w="1985" w:type="dxa"/>
            <w:shd w:val="clear" w:color="auto" w:fill="FFFFFF" w:themeFill="background1"/>
          </w:tcPr>
          <w:p w:rsidR="00815815" w:rsidRDefault="00815815" w:rsidP="000E7DFC">
            <w:pPr>
              <w:jc w:val="both"/>
              <w:rPr>
                <w:rFonts w:ascii="Rockwell" w:eastAsia="Rockwell" w:hAnsi="Rockwell" w:cs="Rockwell"/>
                <w:sz w:val="24"/>
                <w:szCs w:val="24"/>
              </w:rPr>
            </w:pPr>
            <w:r>
              <w:rPr>
                <w:rFonts w:ascii="Rockwell" w:eastAsia="Rockwell" w:hAnsi="Rockwell" w:cs="Rockwell"/>
                <w:sz w:val="24"/>
                <w:szCs w:val="24"/>
              </w:rPr>
              <w:t xml:space="preserve">MECCF, MIBEMA, NEMA, SDM, </w:t>
            </w:r>
          </w:p>
        </w:tc>
      </w:tr>
      <w:tr w:rsidR="004520FD" w:rsidRPr="004A76D7" w:rsidTr="00402470">
        <w:trPr>
          <w:trHeight w:val="1400"/>
        </w:trPr>
        <w:tc>
          <w:tcPr>
            <w:tcW w:w="705" w:type="dxa"/>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lastRenderedPageBreak/>
              <w:t>.</w:t>
            </w:r>
          </w:p>
        </w:tc>
        <w:tc>
          <w:tcPr>
            <w:tcW w:w="990" w:type="dxa"/>
            <w:vMerge w:val="restart"/>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Laws</w:t>
            </w:r>
          </w:p>
        </w:tc>
        <w:tc>
          <w:tcPr>
            <w:tcW w:w="2130" w:type="dxa"/>
          </w:tcPr>
          <w:p w:rsidR="004520FD" w:rsidRPr="004A76D7" w:rsidRDefault="00815815" w:rsidP="000E7DFC">
            <w:pPr>
              <w:jc w:val="both"/>
              <w:rPr>
                <w:rFonts w:ascii="Rockwell" w:eastAsia="Rockwell" w:hAnsi="Rockwell" w:cs="Rockwell"/>
                <w:sz w:val="24"/>
                <w:szCs w:val="24"/>
              </w:rPr>
            </w:pPr>
            <w:r>
              <w:rPr>
                <w:rFonts w:ascii="Rockwell" w:eastAsia="Rockwell" w:hAnsi="Rockwell" w:cs="Rockwell"/>
                <w:sz w:val="24"/>
                <w:szCs w:val="24"/>
              </w:rPr>
              <w:t>EMCA, CAP 387</w:t>
            </w:r>
          </w:p>
        </w:tc>
        <w:tc>
          <w:tcPr>
            <w:tcW w:w="2554" w:type="dxa"/>
            <w:shd w:val="clear" w:color="auto" w:fill="auto"/>
          </w:tcPr>
          <w:p w:rsidR="00A65DA7" w:rsidRPr="00402470" w:rsidRDefault="00A65DA7" w:rsidP="00A65DA7">
            <w:pPr>
              <w:jc w:val="both"/>
              <w:rPr>
                <w:rFonts w:ascii="Rockwell" w:hAnsi="Rockwell"/>
                <w:sz w:val="24"/>
                <w:szCs w:val="24"/>
              </w:rPr>
            </w:pPr>
            <w:r w:rsidRPr="00402470">
              <w:rPr>
                <w:rFonts w:ascii="Rockwell" w:hAnsi="Rockwell"/>
                <w:sz w:val="24"/>
                <w:szCs w:val="24"/>
              </w:rPr>
              <w:t>Section 3 indicates that every person has the right to live in a clean and healthy environment, including access to clean air, safe water, and protection from pollution</w:t>
            </w:r>
          </w:p>
          <w:p w:rsidR="00A65DA7" w:rsidRPr="00402470" w:rsidRDefault="00A65DA7" w:rsidP="00A65DA7">
            <w:pPr>
              <w:jc w:val="both"/>
              <w:rPr>
                <w:rFonts w:ascii="Rockwell" w:eastAsia="Times New Roman" w:hAnsi="Rockwell"/>
                <w:sz w:val="24"/>
                <w:szCs w:val="24"/>
              </w:rPr>
            </w:pPr>
            <w:r w:rsidRPr="00402470">
              <w:rPr>
                <w:rFonts w:ascii="Rockwell" w:hAnsi="Rockwell"/>
                <w:sz w:val="24"/>
                <w:szCs w:val="24"/>
              </w:rPr>
              <w:t xml:space="preserve"> </w:t>
            </w:r>
          </w:p>
          <w:p w:rsidR="00A65DA7" w:rsidRPr="00402470" w:rsidRDefault="00A65DA7" w:rsidP="00A65DA7">
            <w:pPr>
              <w:jc w:val="both"/>
              <w:rPr>
                <w:rFonts w:ascii="Rockwell" w:hAnsi="Rockwell"/>
                <w:sz w:val="24"/>
                <w:szCs w:val="24"/>
              </w:rPr>
            </w:pPr>
            <w:r w:rsidRPr="00402470">
              <w:rPr>
                <w:rFonts w:ascii="Rockwell" w:hAnsi="Rockwell"/>
                <w:sz w:val="24"/>
                <w:szCs w:val="24"/>
              </w:rPr>
              <w:t>Section 9 covers the Objects and functions of the Authority</w:t>
            </w:r>
          </w:p>
          <w:p w:rsidR="00A65DA7" w:rsidRPr="00402470" w:rsidRDefault="00A65DA7" w:rsidP="00A65DA7">
            <w:pPr>
              <w:jc w:val="both"/>
              <w:rPr>
                <w:rFonts w:ascii="Rockwell" w:eastAsia="Times New Roman" w:hAnsi="Rockwell"/>
                <w:sz w:val="24"/>
                <w:szCs w:val="24"/>
              </w:rPr>
            </w:pPr>
            <w:r w:rsidRPr="00402470">
              <w:rPr>
                <w:rFonts w:ascii="Rockwell" w:hAnsi="Rockwell"/>
                <w:sz w:val="24"/>
                <w:szCs w:val="24"/>
              </w:rPr>
              <w:t xml:space="preserve"> </w:t>
            </w:r>
          </w:p>
          <w:p w:rsidR="00A65DA7" w:rsidRPr="00402470" w:rsidRDefault="00A65DA7" w:rsidP="00A65DA7">
            <w:pPr>
              <w:jc w:val="both"/>
              <w:rPr>
                <w:rFonts w:ascii="Rockwell" w:hAnsi="Rockwell"/>
                <w:sz w:val="24"/>
                <w:szCs w:val="24"/>
              </w:rPr>
            </w:pPr>
            <w:r w:rsidRPr="00402470">
              <w:rPr>
                <w:rFonts w:ascii="Rockwell" w:hAnsi="Rockwell"/>
                <w:sz w:val="24"/>
                <w:szCs w:val="24"/>
              </w:rPr>
              <w:t>Section 24 established the National Environment Trust Fund</w:t>
            </w:r>
          </w:p>
          <w:p w:rsidR="00A65DA7" w:rsidRPr="00402470" w:rsidRDefault="00A65DA7" w:rsidP="00A65DA7">
            <w:pPr>
              <w:jc w:val="both"/>
              <w:rPr>
                <w:rFonts w:ascii="Rockwell" w:eastAsia="Times New Roman" w:hAnsi="Rockwell"/>
                <w:sz w:val="24"/>
                <w:szCs w:val="24"/>
              </w:rPr>
            </w:pPr>
            <w:r w:rsidRPr="00402470">
              <w:rPr>
                <w:rFonts w:ascii="Rockwell" w:hAnsi="Rockwell"/>
                <w:sz w:val="24"/>
                <w:szCs w:val="24"/>
              </w:rPr>
              <w:t xml:space="preserve"> </w:t>
            </w:r>
          </w:p>
          <w:p w:rsidR="00A65DA7" w:rsidRPr="00402470" w:rsidRDefault="00A65DA7" w:rsidP="00A65DA7">
            <w:pPr>
              <w:jc w:val="both"/>
              <w:rPr>
                <w:rFonts w:ascii="Rockwell" w:hAnsi="Rockwell"/>
                <w:sz w:val="24"/>
                <w:szCs w:val="24"/>
              </w:rPr>
            </w:pPr>
            <w:r w:rsidRPr="00402470">
              <w:rPr>
                <w:rFonts w:ascii="Rockwell" w:hAnsi="Rockwell"/>
                <w:sz w:val="24"/>
                <w:szCs w:val="24"/>
              </w:rPr>
              <w:t>Section 25 establishes the National Environment Restoration Fund</w:t>
            </w:r>
          </w:p>
          <w:p w:rsidR="00A65DA7" w:rsidRPr="00402470" w:rsidRDefault="00A65DA7" w:rsidP="00A65DA7">
            <w:pPr>
              <w:jc w:val="both"/>
              <w:rPr>
                <w:rFonts w:ascii="Rockwell" w:eastAsia="Times New Roman" w:hAnsi="Rockwell"/>
                <w:sz w:val="24"/>
                <w:szCs w:val="24"/>
              </w:rPr>
            </w:pPr>
            <w:r w:rsidRPr="00402470">
              <w:rPr>
                <w:rFonts w:ascii="Rockwell" w:hAnsi="Rockwell"/>
                <w:sz w:val="24"/>
                <w:szCs w:val="24"/>
              </w:rPr>
              <w:t xml:space="preserve"> </w:t>
            </w:r>
          </w:p>
          <w:p w:rsidR="00A65DA7" w:rsidRPr="00402470" w:rsidRDefault="00A65DA7" w:rsidP="00A65DA7">
            <w:pPr>
              <w:jc w:val="both"/>
              <w:rPr>
                <w:rFonts w:ascii="Rockwell" w:hAnsi="Rockwell"/>
                <w:sz w:val="24"/>
                <w:szCs w:val="24"/>
              </w:rPr>
            </w:pPr>
            <w:r w:rsidRPr="00402470">
              <w:rPr>
                <w:rFonts w:ascii="Rockwell" w:hAnsi="Rockwell"/>
                <w:sz w:val="24"/>
                <w:szCs w:val="24"/>
              </w:rPr>
              <w:t xml:space="preserve">Section 28 gives the provision for the establishment of the Environmental </w:t>
            </w:r>
            <w:r w:rsidRPr="00402470">
              <w:rPr>
                <w:rStyle w:val="15"/>
                <w:rFonts w:ascii="Rockwell" w:hAnsi="Rockwell"/>
                <w:sz w:val="24"/>
                <w:szCs w:val="24"/>
              </w:rPr>
              <w:t>Deposit Bond</w:t>
            </w:r>
            <w:r w:rsidRPr="00402470">
              <w:rPr>
                <w:rFonts w:ascii="Rockwell" w:hAnsi="Rockwell"/>
                <w:sz w:val="24"/>
                <w:szCs w:val="24"/>
              </w:rPr>
              <w:t xml:space="preserve"> </w:t>
            </w:r>
          </w:p>
          <w:p w:rsidR="00A65DA7" w:rsidRPr="00402470" w:rsidRDefault="00A65DA7" w:rsidP="00A65DA7">
            <w:pPr>
              <w:jc w:val="both"/>
              <w:rPr>
                <w:rFonts w:ascii="Rockwell" w:hAnsi="Rockwell"/>
                <w:sz w:val="24"/>
                <w:szCs w:val="24"/>
              </w:rPr>
            </w:pPr>
            <w:r w:rsidRPr="00402470">
              <w:rPr>
                <w:rFonts w:ascii="Rockwell" w:hAnsi="Rockwell"/>
                <w:sz w:val="24"/>
                <w:szCs w:val="24"/>
              </w:rPr>
              <w:t xml:space="preserve"> </w:t>
            </w:r>
          </w:p>
          <w:p w:rsidR="00A65DA7" w:rsidRPr="00402470" w:rsidRDefault="00A65DA7" w:rsidP="00A65DA7">
            <w:pPr>
              <w:jc w:val="both"/>
              <w:rPr>
                <w:rFonts w:ascii="Rockwell" w:hAnsi="Rockwell"/>
                <w:sz w:val="24"/>
                <w:szCs w:val="24"/>
              </w:rPr>
            </w:pPr>
            <w:r w:rsidRPr="00402470">
              <w:rPr>
                <w:rFonts w:ascii="Rockwell" w:hAnsi="Rockwell"/>
                <w:sz w:val="24"/>
                <w:szCs w:val="24"/>
              </w:rPr>
              <w:t>Section 29 creates the County Environment Committees</w:t>
            </w:r>
          </w:p>
          <w:p w:rsidR="00A65DA7" w:rsidRPr="00402470" w:rsidRDefault="00A65DA7" w:rsidP="00A65DA7">
            <w:pPr>
              <w:jc w:val="both"/>
              <w:rPr>
                <w:rFonts w:ascii="Rockwell" w:eastAsia="Times New Roman" w:hAnsi="Rockwell"/>
                <w:sz w:val="24"/>
                <w:szCs w:val="24"/>
              </w:rPr>
            </w:pPr>
            <w:r w:rsidRPr="00402470">
              <w:rPr>
                <w:rFonts w:ascii="Rockwell" w:hAnsi="Rockwell"/>
                <w:sz w:val="24"/>
                <w:szCs w:val="24"/>
              </w:rPr>
              <w:t xml:space="preserve"> </w:t>
            </w:r>
          </w:p>
          <w:p w:rsidR="00A65DA7" w:rsidRPr="00402470" w:rsidRDefault="00A65DA7" w:rsidP="00A65DA7">
            <w:pPr>
              <w:jc w:val="both"/>
              <w:rPr>
                <w:rFonts w:ascii="Rockwell" w:hAnsi="Rockwell"/>
                <w:sz w:val="24"/>
                <w:szCs w:val="24"/>
              </w:rPr>
            </w:pPr>
            <w:r w:rsidRPr="00402470">
              <w:rPr>
                <w:rFonts w:ascii="Rockwell" w:hAnsi="Rockwell"/>
                <w:sz w:val="24"/>
                <w:szCs w:val="24"/>
              </w:rPr>
              <w:t xml:space="preserve">Section 31 – establishes the </w:t>
            </w:r>
            <w:r w:rsidRPr="00402470">
              <w:rPr>
                <w:rFonts w:ascii="Rockwell" w:hAnsi="Rockwell"/>
                <w:sz w:val="24"/>
                <w:szCs w:val="24"/>
              </w:rPr>
              <w:lastRenderedPageBreak/>
              <w:t>National Environmental Complaints Committee</w:t>
            </w:r>
          </w:p>
          <w:p w:rsidR="00A65DA7" w:rsidRPr="00402470" w:rsidRDefault="00A65DA7" w:rsidP="00A65DA7">
            <w:pPr>
              <w:jc w:val="both"/>
              <w:rPr>
                <w:rFonts w:ascii="Rockwell" w:hAnsi="Rockwell"/>
                <w:sz w:val="24"/>
                <w:szCs w:val="24"/>
              </w:rPr>
            </w:pPr>
            <w:r w:rsidRPr="00402470">
              <w:rPr>
                <w:rFonts w:ascii="Rockwell" w:hAnsi="Rockwell"/>
                <w:sz w:val="24"/>
                <w:szCs w:val="24"/>
              </w:rPr>
              <w:t xml:space="preserve"> </w:t>
            </w:r>
          </w:p>
          <w:p w:rsidR="00A65DA7" w:rsidRPr="00402470" w:rsidRDefault="00A65DA7" w:rsidP="00A65DA7">
            <w:pPr>
              <w:jc w:val="both"/>
              <w:rPr>
                <w:rFonts w:ascii="Rockwell" w:hAnsi="Rockwell"/>
                <w:sz w:val="24"/>
                <w:szCs w:val="24"/>
              </w:rPr>
            </w:pPr>
            <w:r w:rsidRPr="00402470">
              <w:rPr>
                <w:rFonts w:ascii="Rockwell" w:hAnsi="Rockwell"/>
                <w:sz w:val="24"/>
                <w:szCs w:val="24"/>
              </w:rPr>
              <w:t>Section 57A gives the provisions for undertaking the Strategic Environmental Assessment process</w:t>
            </w:r>
          </w:p>
          <w:p w:rsidR="00A65DA7" w:rsidRPr="00402470" w:rsidRDefault="00A65DA7" w:rsidP="00A65DA7">
            <w:pPr>
              <w:jc w:val="both"/>
              <w:rPr>
                <w:rFonts w:ascii="Rockwell" w:eastAsia="Times New Roman" w:hAnsi="Rockwell"/>
                <w:sz w:val="24"/>
                <w:szCs w:val="24"/>
              </w:rPr>
            </w:pPr>
            <w:r w:rsidRPr="00402470">
              <w:rPr>
                <w:rFonts w:ascii="Rockwell" w:hAnsi="Rockwell"/>
                <w:sz w:val="24"/>
                <w:szCs w:val="24"/>
              </w:rPr>
              <w:t xml:space="preserve"> </w:t>
            </w:r>
          </w:p>
          <w:p w:rsidR="00A65DA7" w:rsidRPr="00402470" w:rsidRDefault="00A65DA7" w:rsidP="00A65DA7">
            <w:pPr>
              <w:jc w:val="both"/>
              <w:rPr>
                <w:rFonts w:ascii="Rockwell" w:hAnsi="Rockwell"/>
                <w:sz w:val="24"/>
                <w:szCs w:val="24"/>
              </w:rPr>
            </w:pPr>
            <w:r w:rsidRPr="00402470">
              <w:rPr>
                <w:rFonts w:ascii="Rockwell" w:hAnsi="Rockwell"/>
                <w:sz w:val="24"/>
                <w:szCs w:val="24"/>
              </w:rPr>
              <w:t>Section 58 gives the provisions for application for an Environmental Impact Assessment process</w:t>
            </w:r>
          </w:p>
          <w:p w:rsidR="00A65DA7" w:rsidRPr="00402470" w:rsidRDefault="00A65DA7" w:rsidP="00A65DA7">
            <w:pPr>
              <w:jc w:val="both"/>
              <w:rPr>
                <w:rFonts w:ascii="Rockwell" w:eastAsia="Times New Roman" w:hAnsi="Rockwell"/>
                <w:sz w:val="24"/>
                <w:szCs w:val="24"/>
              </w:rPr>
            </w:pPr>
            <w:r w:rsidRPr="00402470">
              <w:rPr>
                <w:rFonts w:ascii="Rockwell" w:hAnsi="Rockwell"/>
                <w:sz w:val="24"/>
                <w:szCs w:val="24"/>
              </w:rPr>
              <w:t xml:space="preserve"> </w:t>
            </w:r>
          </w:p>
          <w:p w:rsidR="00A65DA7" w:rsidRPr="00402470" w:rsidRDefault="00A65DA7" w:rsidP="00A65DA7">
            <w:pPr>
              <w:jc w:val="both"/>
              <w:rPr>
                <w:rFonts w:ascii="Rockwell" w:hAnsi="Rockwell"/>
                <w:sz w:val="24"/>
                <w:szCs w:val="24"/>
              </w:rPr>
            </w:pPr>
            <w:r w:rsidRPr="00402470">
              <w:rPr>
                <w:rFonts w:ascii="Rockwell" w:hAnsi="Rockwell"/>
                <w:sz w:val="24"/>
                <w:szCs w:val="24"/>
              </w:rPr>
              <w:t>Section 68-gives provisions for Environmental audit</w:t>
            </w:r>
          </w:p>
          <w:p w:rsidR="00A65DA7" w:rsidRPr="00402470" w:rsidRDefault="00A65DA7" w:rsidP="00A65DA7">
            <w:pPr>
              <w:jc w:val="both"/>
              <w:rPr>
                <w:rFonts w:ascii="Rockwell" w:hAnsi="Rockwell"/>
                <w:sz w:val="24"/>
                <w:szCs w:val="24"/>
              </w:rPr>
            </w:pPr>
          </w:p>
          <w:p w:rsidR="00A65DA7" w:rsidRPr="00402470" w:rsidRDefault="00A65DA7" w:rsidP="00A65DA7">
            <w:pPr>
              <w:jc w:val="both"/>
              <w:rPr>
                <w:rFonts w:ascii="Rockwell" w:hAnsi="Rockwell"/>
                <w:sz w:val="24"/>
                <w:szCs w:val="24"/>
              </w:rPr>
            </w:pPr>
            <w:r w:rsidRPr="00402470">
              <w:rPr>
                <w:rFonts w:ascii="Rockwell" w:hAnsi="Rockwell"/>
                <w:sz w:val="24"/>
                <w:szCs w:val="24"/>
              </w:rPr>
              <w:t>Section 108 highlights the aspects of Environmental Restoration Orders issued by the Authority</w:t>
            </w:r>
          </w:p>
          <w:p w:rsidR="00A65DA7" w:rsidRPr="00402470" w:rsidRDefault="00A65DA7" w:rsidP="00A65DA7">
            <w:pPr>
              <w:jc w:val="both"/>
              <w:rPr>
                <w:rFonts w:ascii="Rockwell" w:eastAsia="Times New Roman" w:hAnsi="Rockwell"/>
                <w:sz w:val="24"/>
                <w:szCs w:val="24"/>
              </w:rPr>
            </w:pPr>
            <w:r w:rsidRPr="00402470">
              <w:rPr>
                <w:rFonts w:ascii="Rockwell" w:hAnsi="Rockwell"/>
                <w:sz w:val="24"/>
                <w:szCs w:val="24"/>
              </w:rPr>
              <w:t xml:space="preserve"> </w:t>
            </w:r>
          </w:p>
          <w:p w:rsidR="00A65DA7" w:rsidRPr="00402470" w:rsidRDefault="00A65DA7" w:rsidP="00A65DA7">
            <w:pPr>
              <w:jc w:val="both"/>
              <w:rPr>
                <w:rFonts w:ascii="Rockwell" w:hAnsi="Rockwell"/>
                <w:sz w:val="24"/>
                <w:szCs w:val="24"/>
              </w:rPr>
            </w:pPr>
            <w:r w:rsidRPr="00402470">
              <w:rPr>
                <w:rFonts w:ascii="Rockwell" w:hAnsi="Rockwell"/>
                <w:sz w:val="24"/>
                <w:szCs w:val="24"/>
              </w:rPr>
              <w:t xml:space="preserve"> Section 117-  highlights the appointment of Environmental Inspectors and powers given to them</w:t>
            </w:r>
          </w:p>
          <w:p w:rsidR="00A65DA7" w:rsidRPr="00402470" w:rsidRDefault="00A65DA7" w:rsidP="00A65DA7">
            <w:pPr>
              <w:jc w:val="both"/>
              <w:rPr>
                <w:rFonts w:ascii="Rockwell" w:eastAsia="Times New Roman" w:hAnsi="Rockwell"/>
                <w:sz w:val="24"/>
                <w:szCs w:val="24"/>
              </w:rPr>
            </w:pPr>
            <w:r w:rsidRPr="00402470">
              <w:rPr>
                <w:rFonts w:ascii="Rockwell" w:hAnsi="Rockwell"/>
                <w:sz w:val="24"/>
                <w:szCs w:val="24"/>
              </w:rPr>
              <w:t xml:space="preserve"> </w:t>
            </w:r>
          </w:p>
          <w:p w:rsidR="00A65DA7" w:rsidRPr="00402470" w:rsidRDefault="00A65DA7" w:rsidP="00A65DA7">
            <w:r w:rsidRPr="00402470">
              <w:rPr>
                <w:rFonts w:ascii="Rockwell" w:hAnsi="Rockwell"/>
                <w:sz w:val="24"/>
                <w:szCs w:val="24"/>
              </w:rPr>
              <w:t>Section 125</w:t>
            </w:r>
            <w:r w:rsidR="00402470" w:rsidRPr="00402470">
              <w:rPr>
                <w:rFonts w:ascii="Rockwell" w:hAnsi="Rockwell"/>
                <w:sz w:val="24"/>
                <w:szCs w:val="24"/>
              </w:rPr>
              <w:t xml:space="preserve"> indicates the e</w:t>
            </w:r>
            <w:r w:rsidRPr="00402470">
              <w:rPr>
                <w:rFonts w:ascii="Rockwell" w:hAnsi="Rockwell"/>
                <w:sz w:val="24"/>
                <w:szCs w:val="24"/>
              </w:rPr>
              <w:t>stablishment of the National Environment Tribunal</w:t>
            </w:r>
            <w:r w:rsidR="00402470" w:rsidRPr="00402470">
              <w:rPr>
                <w:rFonts w:ascii="Rockwell" w:hAnsi="Rockwell"/>
                <w:sz w:val="24"/>
                <w:szCs w:val="24"/>
              </w:rPr>
              <w:t xml:space="preserve"> as a redress </w:t>
            </w:r>
            <w:r w:rsidR="00402470" w:rsidRPr="00402470">
              <w:rPr>
                <w:rFonts w:ascii="Rockwell" w:hAnsi="Rockwell"/>
                <w:sz w:val="24"/>
                <w:szCs w:val="24"/>
              </w:rPr>
              <w:lastRenderedPageBreak/>
              <w:t>mechanism for any aggrieved party regarding NEMA decisions</w:t>
            </w:r>
          </w:p>
          <w:p w:rsidR="00A65DA7" w:rsidRPr="00402470" w:rsidRDefault="00A65DA7" w:rsidP="000E7DFC">
            <w:pPr>
              <w:jc w:val="both"/>
              <w:rPr>
                <w:rFonts w:ascii="Rockwell" w:eastAsia="Rockwell" w:hAnsi="Rockwell" w:cs="Rockwell"/>
                <w:sz w:val="24"/>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9B4D81" w:rsidRPr="004A76D7" w:rsidRDefault="009B4D81" w:rsidP="00815815">
            <w:pPr>
              <w:shd w:val="clear" w:color="auto" w:fill="FFFFFF" w:themeFill="background1"/>
              <w:autoSpaceDE w:val="0"/>
              <w:autoSpaceDN w:val="0"/>
              <w:adjustRightInd w:val="0"/>
              <w:jc w:val="both"/>
              <w:rPr>
                <w:rFonts w:ascii="Rockwell" w:eastAsiaTheme="minorHAnsi" w:hAnsi="Rockwell" w:cs="Rockwell"/>
                <w:bCs/>
                <w:sz w:val="24"/>
                <w:szCs w:val="24"/>
              </w:rPr>
            </w:pPr>
            <w:r w:rsidRPr="00815815">
              <w:rPr>
                <w:rFonts w:ascii="Rockwell" w:eastAsiaTheme="minorHAnsi" w:hAnsi="Rockwell" w:cs="Rockwell"/>
                <w:bCs/>
                <w:sz w:val="24"/>
                <w:szCs w:val="24"/>
              </w:rPr>
              <w:lastRenderedPageBreak/>
              <w:t xml:space="preserve">Environmental </w:t>
            </w:r>
            <w:r w:rsidR="0085313A" w:rsidRPr="00815815">
              <w:rPr>
                <w:rFonts w:ascii="Rockwell" w:eastAsiaTheme="minorHAnsi" w:hAnsi="Rockwell" w:cs="Rockwell"/>
                <w:bCs/>
                <w:sz w:val="24"/>
                <w:szCs w:val="24"/>
              </w:rPr>
              <w:t>Management and Coordination (</w:t>
            </w:r>
            <w:r w:rsidR="00815815" w:rsidRPr="00815815">
              <w:rPr>
                <w:rFonts w:ascii="Rockwell" w:eastAsiaTheme="minorHAnsi" w:hAnsi="Rockwell" w:cs="Rockwell"/>
                <w:bCs/>
                <w:sz w:val="24"/>
                <w:szCs w:val="24"/>
              </w:rPr>
              <w:t>Deposit Bonds) Regulations, 2025</w:t>
            </w:r>
          </w:p>
          <w:p w:rsidR="0085313A" w:rsidRPr="004A76D7" w:rsidRDefault="0085313A" w:rsidP="000E7DFC">
            <w:pPr>
              <w:autoSpaceDE w:val="0"/>
              <w:autoSpaceDN w:val="0"/>
              <w:adjustRightInd w:val="0"/>
              <w:jc w:val="both"/>
              <w:rPr>
                <w:rFonts w:ascii="Rockwell" w:eastAsiaTheme="minorHAnsi" w:hAnsi="Rockwell" w:cs="Rockwell"/>
                <w:bCs/>
                <w:sz w:val="24"/>
                <w:szCs w:val="24"/>
              </w:rPr>
            </w:pPr>
          </w:p>
          <w:p w:rsidR="004520FD" w:rsidRPr="004A76D7" w:rsidRDefault="004520FD" w:rsidP="000E7DFC">
            <w:pPr>
              <w:autoSpaceDE w:val="0"/>
              <w:autoSpaceDN w:val="0"/>
              <w:adjustRightInd w:val="0"/>
              <w:jc w:val="both"/>
              <w:rPr>
                <w:rFonts w:ascii="Rockwell" w:eastAsiaTheme="minorHAnsi" w:hAnsi="Rockwell" w:cs="Rockwell"/>
                <w:bCs/>
                <w:sz w:val="24"/>
                <w:szCs w:val="24"/>
              </w:rPr>
            </w:pPr>
            <w:r w:rsidRPr="004A76D7">
              <w:rPr>
                <w:rFonts w:ascii="Rockwell" w:eastAsiaTheme="minorHAnsi" w:hAnsi="Rockwell" w:cs="Rockwell"/>
                <w:bCs/>
                <w:sz w:val="24"/>
                <w:szCs w:val="24"/>
              </w:rPr>
              <w:t>Environmental (Impact Assessment and Audit) Regulations, 2003</w:t>
            </w:r>
          </w:p>
          <w:p w:rsidR="004520FD" w:rsidRPr="004A76D7" w:rsidRDefault="004520FD" w:rsidP="000E7DFC">
            <w:pPr>
              <w:autoSpaceDE w:val="0"/>
              <w:autoSpaceDN w:val="0"/>
              <w:adjustRightInd w:val="0"/>
              <w:jc w:val="both"/>
              <w:rPr>
                <w:rFonts w:ascii="Rockwell" w:eastAsiaTheme="minorHAnsi" w:hAnsi="Rockwell" w:cs="Rockwell"/>
                <w:bCs/>
                <w:sz w:val="24"/>
                <w:szCs w:val="24"/>
              </w:rPr>
            </w:pPr>
          </w:p>
          <w:p w:rsidR="004520FD" w:rsidRPr="004A76D7" w:rsidRDefault="004520FD" w:rsidP="000E7DFC">
            <w:pPr>
              <w:autoSpaceDE w:val="0"/>
              <w:autoSpaceDN w:val="0"/>
              <w:adjustRightInd w:val="0"/>
              <w:jc w:val="both"/>
              <w:rPr>
                <w:rFonts w:ascii="Rockwell" w:eastAsiaTheme="minorHAnsi" w:hAnsi="Rockwell" w:cs="Rockwell"/>
                <w:bCs/>
                <w:sz w:val="24"/>
                <w:szCs w:val="24"/>
              </w:rPr>
            </w:pPr>
            <w:r w:rsidRPr="004A76D7">
              <w:rPr>
                <w:rFonts w:ascii="Rockwell" w:eastAsiaTheme="minorHAnsi" w:hAnsi="Rockwell" w:cs="Rockwell"/>
                <w:bCs/>
                <w:sz w:val="24"/>
                <w:szCs w:val="24"/>
              </w:rPr>
              <w:t>Environmental Management and Coordination (Was</w:t>
            </w:r>
            <w:r w:rsidR="00815815">
              <w:rPr>
                <w:rFonts w:ascii="Rockwell" w:eastAsiaTheme="minorHAnsi" w:hAnsi="Rockwell" w:cs="Rockwell"/>
                <w:bCs/>
                <w:sz w:val="24"/>
                <w:szCs w:val="24"/>
              </w:rPr>
              <w:t>te Management) Regulations, 2024</w:t>
            </w:r>
          </w:p>
          <w:p w:rsidR="004520FD" w:rsidRPr="004A76D7" w:rsidRDefault="004520FD" w:rsidP="000E7DFC">
            <w:pPr>
              <w:autoSpaceDE w:val="0"/>
              <w:autoSpaceDN w:val="0"/>
              <w:adjustRightInd w:val="0"/>
              <w:jc w:val="both"/>
              <w:rPr>
                <w:rFonts w:ascii="Rockwell" w:eastAsiaTheme="minorHAnsi" w:hAnsi="Rockwell" w:cs="Rockwell"/>
                <w:bCs/>
                <w:sz w:val="24"/>
                <w:szCs w:val="24"/>
              </w:rPr>
            </w:pPr>
          </w:p>
          <w:p w:rsidR="004520FD" w:rsidRPr="004A76D7" w:rsidRDefault="004520FD" w:rsidP="000E7DFC">
            <w:pPr>
              <w:autoSpaceDE w:val="0"/>
              <w:autoSpaceDN w:val="0"/>
              <w:adjustRightInd w:val="0"/>
              <w:jc w:val="both"/>
              <w:rPr>
                <w:rFonts w:ascii="Rockwell" w:eastAsiaTheme="minorHAnsi" w:hAnsi="Rockwell" w:cs="Rockwell"/>
                <w:bCs/>
                <w:sz w:val="24"/>
                <w:szCs w:val="24"/>
              </w:rPr>
            </w:pPr>
            <w:r w:rsidRPr="004A76D7">
              <w:rPr>
                <w:rFonts w:ascii="Rockwell" w:eastAsiaTheme="minorHAnsi" w:hAnsi="Rockwell" w:cs="Rockwell"/>
                <w:bCs/>
                <w:sz w:val="24"/>
                <w:szCs w:val="24"/>
              </w:rPr>
              <w:t>Environmental Management and Coordination (Noise &amp; Excessive Vibrations) Regulations, 2009</w:t>
            </w:r>
          </w:p>
          <w:p w:rsidR="004520FD" w:rsidRPr="004A76D7" w:rsidRDefault="004520FD" w:rsidP="000E7DFC">
            <w:pPr>
              <w:autoSpaceDE w:val="0"/>
              <w:autoSpaceDN w:val="0"/>
              <w:adjustRightInd w:val="0"/>
              <w:jc w:val="both"/>
              <w:rPr>
                <w:rFonts w:ascii="Rockwell" w:eastAsiaTheme="minorHAnsi" w:hAnsi="Rockwell" w:cs="Rockwell"/>
                <w:bCs/>
                <w:sz w:val="24"/>
                <w:szCs w:val="24"/>
              </w:rPr>
            </w:pPr>
          </w:p>
          <w:p w:rsidR="004520FD" w:rsidRPr="004A76D7" w:rsidRDefault="004520FD" w:rsidP="000E7DFC">
            <w:pPr>
              <w:autoSpaceDE w:val="0"/>
              <w:autoSpaceDN w:val="0"/>
              <w:adjustRightInd w:val="0"/>
              <w:jc w:val="both"/>
              <w:rPr>
                <w:rFonts w:ascii="Rockwell" w:eastAsiaTheme="minorHAnsi" w:hAnsi="Rockwell" w:cs="Rockwell"/>
                <w:bCs/>
                <w:sz w:val="24"/>
                <w:szCs w:val="24"/>
              </w:rPr>
            </w:pPr>
            <w:r w:rsidRPr="004A76D7">
              <w:rPr>
                <w:rFonts w:ascii="Rockwell" w:eastAsiaTheme="minorHAnsi" w:hAnsi="Rockwell" w:cs="Rockwell"/>
                <w:bCs/>
                <w:sz w:val="24"/>
                <w:szCs w:val="24"/>
              </w:rPr>
              <w:t>Environmental Management and Coordination (</w:t>
            </w:r>
            <w:r w:rsidR="00815815">
              <w:rPr>
                <w:rFonts w:ascii="Rockwell" w:eastAsiaTheme="minorHAnsi" w:hAnsi="Rockwell" w:cs="Rockwell"/>
                <w:bCs/>
                <w:sz w:val="24"/>
                <w:szCs w:val="24"/>
              </w:rPr>
              <w:t>Water Quality) Regulations, 2024</w:t>
            </w:r>
          </w:p>
          <w:p w:rsidR="004520FD" w:rsidRPr="004A76D7" w:rsidRDefault="004520FD" w:rsidP="000E7DFC">
            <w:pPr>
              <w:autoSpaceDE w:val="0"/>
              <w:autoSpaceDN w:val="0"/>
              <w:adjustRightInd w:val="0"/>
              <w:jc w:val="both"/>
              <w:rPr>
                <w:rFonts w:ascii="Rockwell" w:eastAsiaTheme="minorHAnsi" w:hAnsi="Rockwell" w:cs="Rockwell"/>
                <w:bCs/>
                <w:sz w:val="24"/>
                <w:szCs w:val="24"/>
              </w:rPr>
            </w:pPr>
          </w:p>
          <w:p w:rsidR="004520FD" w:rsidRPr="004A76D7" w:rsidRDefault="004520FD" w:rsidP="000E7DFC">
            <w:pPr>
              <w:autoSpaceDE w:val="0"/>
              <w:autoSpaceDN w:val="0"/>
              <w:adjustRightInd w:val="0"/>
              <w:jc w:val="both"/>
              <w:rPr>
                <w:rFonts w:ascii="Rockwell" w:eastAsiaTheme="minorHAnsi" w:hAnsi="Rockwell" w:cs="Rockwell"/>
                <w:bCs/>
                <w:sz w:val="24"/>
                <w:szCs w:val="24"/>
              </w:rPr>
            </w:pPr>
            <w:r w:rsidRPr="004A76D7">
              <w:rPr>
                <w:rFonts w:ascii="Rockwell" w:eastAsiaTheme="minorHAnsi" w:hAnsi="Rockwell" w:cs="Rockwell"/>
                <w:bCs/>
                <w:sz w:val="24"/>
                <w:szCs w:val="24"/>
              </w:rPr>
              <w:t>Environmental Management and Coordination (</w:t>
            </w:r>
            <w:r w:rsidR="00815815">
              <w:rPr>
                <w:rFonts w:ascii="Rockwell" w:eastAsiaTheme="minorHAnsi" w:hAnsi="Rockwell" w:cs="Rockwell"/>
                <w:bCs/>
                <w:sz w:val="24"/>
                <w:szCs w:val="24"/>
              </w:rPr>
              <w:t>Air Quality) Regulations, 2024</w:t>
            </w:r>
          </w:p>
          <w:p w:rsidR="004520FD" w:rsidRPr="004A76D7" w:rsidRDefault="004520FD" w:rsidP="000E7DFC">
            <w:pPr>
              <w:autoSpaceDE w:val="0"/>
              <w:autoSpaceDN w:val="0"/>
              <w:adjustRightInd w:val="0"/>
              <w:jc w:val="both"/>
              <w:rPr>
                <w:rFonts w:ascii="Rockwell" w:eastAsiaTheme="minorHAnsi" w:hAnsi="Rockwell" w:cs="Rockwell"/>
                <w:bCs/>
                <w:sz w:val="24"/>
                <w:szCs w:val="24"/>
              </w:rPr>
            </w:pPr>
          </w:p>
          <w:p w:rsidR="004520FD" w:rsidRPr="004A76D7" w:rsidRDefault="004520FD" w:rsidP="000E7DFC">
            <w:pPr>
              <w:autoSpaceDE w:val="0"/>
              <w:autoSpaceDN w:val="0"/>
              <w:adjustRightInd w:val="0"/>
              <w:jc w:val="both"/>
              <w:rPr>
                <w:rFonts w:ascii="Rockwell" w:eastAsiaTheme="minorHAnsi" w:hAnsi="Rockwell" w:cs="Rockwell"/>
                <w:bCs/>
                <w:sz w:val="24"/>
                <w:szCs w:val="24"/>
              </w:rPr>
            </w:pPr>
            <w:r w:rsidRPr="004A76D7">
              <w:rPr>
                <w:rFonts w:ascii="Rockwell" w:eastAsiaTheme="minorHAnsi" w:hAnsi="Rockwell" w:cs="Rockwell"/>
                <w:bCs/>
                <w:sz w:val="24"/>
                <w:szCs w:val="24"/>
              </w:rPr>
              <w:t xml:space="preserve">Environmental Management and Coordination </w:t>
            </w:r>
            <w:r w:rsidRPr="004A76D7">
              <w:rPr>
                <w:rFonts w:ascii="Rockwell" w:eastAsiaTheme="minorHAnsi" w:hAnsi="Rockwell" w:cs="Rockwell"/>
                <w:bCs/>
                <w:sz w:val="24"/>
                <w:szCs w:val="24"/>
              </w:rPr>
              <w:lastRenderedPageBreak/>
              <w:t xml:space="preserve">(Conservation of Biological Diversity and resources, access to genetic resources and </w:t>
            </w:r>
            <w:r w:rsidR="00815815">
              <w:rPr>
                <w:rFonts w:ascii="Rockwell" w:eastAsiaTheme="minorHAnsi" w:hAnsi="Rockwell" w:cs="Rockwell"/>
                <w:bCs/>
                <w:sz w:val="24"/>
                <w:szCs w:val="24"/>
              </w:rPr>
              <w:t>benefit sharing) resources, 2025</w:t>
            </w:r>
            <w:r w:rsidR="00DD2703" w:rsidRPr="004A76D7">
              <w:rPr>
                <w:rFonts w:ascii="Rockwell" w:eastAsiaTheme="minorHAnsi" w:hAnsi="Rockwell" w:cs="Rockwell"/>
                <w:bCs/>
                <w:sz w:val="24"/>
                <w:szCs w:val="24"/>
              </w:rPr>
              <w:t xml:space="preserve"> </w:t>
            </w:r>
          </w:p>
          <w:p w:rsidR="00310872" w:rsidRPr="004A76D7" w:rsidRDefault="00310872" w:rsidP="000E7DFC">
            <w:pPr>
              <w:autoSpaceDE w:val="0"/>
              <w:autoSpaceDN w:val="0"/>
              <w:adjustRightInd w:val="0"/>
              <w:jc w:val="both"/>
              <w:rPr>
                <w:rFonts w:ascii="Rockwell" w:eastAsiaTheme="minorHAnsi" w:hAnsi="Rockwell" w:cs="Rockwell"/>
                <w:bCs/>
                <w:sz w:val="24"/>
                <w:szCs w:val="24"/>
              </w:rPr>
            </w:pPr>
          </w:p>
          <w:p w:rsidR="00310872" w:rsidRPr="004A76D7" w:rsidRDefault="00310872" w:rsidP="000E7DFC">
            <w:pPr>
              <w:autoSpaceDE w:val="0"/>
              <w:autoSpaceDN w:val="0"/>
              <w:adjustRightInd w:val="0"/>
              <w:jc w:val="both"/>
              <w:rPr>
                <w:rFonts w:ascii="Rockwell" w:eastAsia="Rockwell" w:hAnsi="Rockwell" w:cs="Rockwell"/>
                <w:sz w:val="24"/>
                <w:szCs w:val="24"/>
              </w:rPr>
            </w:pPr>
            <w:r w:rsidRPr="004A76D7">
              <w:rPr>
                <w:rFonts w:ascii="Rockwell" w:eastAsiaTheme="minorHAnsi" w:hAnsi="Rockwell" w:cs="Rockwell"/>
                <w:bCs/>
                <w:sz w:val="24"/>
                <w:szCs w:val="24"/>
              </w:rPr>
              <w:t>Environmental Management and Coordination (Controlled Substanc</w:t>
            </w:r>
            <w:r w:rsidR="00815815">
              <w:rPr>
                <w:rFonts w:ascii="Rockwell" w:eastAsiaTheme="minorHAnsi" w:hAnsi="Rockwell" w:cs="Rockwell"/>
                <w:bCs/>
                <w:sz w:val="24"/>
                <w:szCs w:val="24"/>
              </w:rPr>
              <w:t>es), Regulations, 2025</w:t>
            </w:r>
          </w:p>
        </w:tc>
        <w:tc>
          <w:tcPr>
            <w:tcW w:w="1985" w:type="dxa"/>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lastRenderedPageBreak/>
              <w:t xml:space="preserve">NEMA, </w:t>
            </w:r>
            <w:r w:rsidR="0085313A" w:rsidRPr="004A76D7">
              <w:rPr>
                <w:rFonts w:ascii="Rockwell" w:eastAsia="Rockwell" w:hAnsi="Rockwell" w:cs="Rockwell"/>
                <w:sz w:val="24"/>
                <w:szCs w:val="24"/>
              </w:rPr>
              <w:t xml:space="preserve">relevant MCDAs, </w:t>
            </w:r>
            <w:r w:rsidRPr="004A76D7">
              <w:rPr>
                <w:rFonts w:ascii="Rockwell" w:eastAsia="Rockwell" w:hAnsi="Rockwell" w:cs="Rockwell"/>
                <w:sz w:val="24"/>
                <w:szCs w:val="24"/>
              </w:rPr>
              <w:t>NET, NECC, NETFUND, CEC</w:t>
            </w:r>
          </w:p>
        </w:tc>
      </w:tr>
      <w:tr w:rsidR="004520FD" w:rsidRPr="004A76D7" w:rsidTr="00EC7926">
        <w:trPr>
          <w:trHeight w:val="1381"/>
        </w:trPr>
        <w:tc>
          <w:tcPr>
            <w:tcW w:w="705" w:type="dxa"/>
          </w:tcPr>
          <w:p w:rsidR="004520FD" w:rsidRPr="004A76D7" w:rsidRDefault="004520FD" w:rsidP="000E7DFC">
            <w:pPr>
              <w:jc w:val="both"/>
              <w:rPr>
                <w:rFonts w:ascii="Rockwell" w:eastAsia="Rockwell" w:hAnsi="Rockwell" w:cs="Rockwell"/>
                <w:sz w:val="24"/>
                <w:szCs w:val="24"/>
              </w:rPr>
            </w:pPr>
          </w:p>
        </w:tc>
        <w:tc>
          <w:tcPr>
            <w:tcW w:w="990" w:type="dxa"/>
            <w:vMerge/>
          </w:tcPr>
          <w:p w:rsidR="004520FD" w:rsidRPr="004A76D7" w:rsidRDefault="004520FD" w:rsidP="000E7DFC">
            <w:pPr>
              <w:pBdr>
                <w:top w:val="nil"/>
                <w:left w:val="nil"/>
                <w:bottom w:val="nil"/>
                <w:right w:val="nil"/>
                <w:between w:val="nil"/>
              </w:pBdr>
              <w:jc w:val="both"/>
              <w:rPr>
                <w:rFonts w:ascii="Rockwell" w:eastAsia="Rockwell" w:hAnsi="Rockwell" w:cs="Rockwell"/>
                <w:sz w:val="24"/>
                <w:szCs w:val="24"/>
              </w:rPr>
            </w:pPr>
          </w:p>
        </w:tc>
        <w:tc>
          <w:tcPr>
            <w:tcW w:w="2130" w:type="dxa"/>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Mining Act cap 306</w:t>
            </w:r>
          </w:p>
          <w:p w:rsidR="0085313A" w:rsidRPr="004A76D7" w:rsidRDefault="0085313A" w:rsidP="000E7DFC">
            <w:pPr>
              <w:jc w:val="both"/>
              <w:rPr>
                <w:rFonts w:ascii="Rockwell" w:eastAsia="Rockwell" w:hAnsi="Rockwell" w:cs="Rockwell"/>
                <w:sz w:val="24"/>
                <w:szCs w:val="24"/>
              </w:rPr>
            </w:pPr>
          </w:p>
        </w:tc>
        <w:tc>
          <w:tcPr>
            <w:tcW w:w="2554" w:type="dxa"/>
          </w:tcPr>
          <w:p w:rsidR="004520FD" w:rsidRDefault="0085313A" w:rsidP="000E7DFC">
            <w:pPr>
              <w:jc w:val="both"/>
              <w:rPr>
                <w:rFonts w:ascii="Rockwell" w:eastAsia="Rockwell" w:hAnsi="Rockwell" w:cs="Rockwell"/>
                <w:sz w:val="24"/>
                <w:szCs w:val="24"/>
              </w:rPr>
            </w:pPr>
            <w:r w:rsidRPr="004A76D7">
              <w:rPr>
                <w:rFonts w:ascii="Rockwell" w:eastAsia="Rockwell" w:hAnsi="Rockwell" w:cs="Rockwell"/>
                <w:sz w:val="24"/>
                <w:szCs w:val="24"/>
              </w:rPr>
              <w:t xml:space="preserve">Section </w:t>
            </w:r>
            <w:r w:rsidR="004520FD" w:rsidRPr="004A76D7">
              <w:rPr>
                <w:rFonts w:ascii="Rockwell" w:eastAsia="Rockwell" w:hAnsi="Rockwell" w:cs="Rockwell"/>
                <w:sz w:val="24"/>
                <w:szCs w:val="24"/>
              </w:rPr>
              <w:t>181</w:t>
            </w:r>
            <w:r w:rsidRPr="004A76D7">
              <w:rPr>
                <w:rFonts w:ascii="Rockwell" w:eastAsia="Rockwell" w:hAnsi="Rockwell" w:cs="Rockwell"/>
                <w:sz w:val="24"/>
                <w:szCs w:val="24"/>
              </w:rPr>
              <w:t xml:space="preserve"> on Environmental protection bonds in mining.</w:t>
            </w:r>
          </w:p>
          <w:p w:rsidR="001A28F3" w:rsidRPr="004A76D7" w:rsidRDefault="001A28F3" w:rsidP="000E7DFC">
            <w:pPr>
              <w:jc w:val="both"/>
              <w:rPr>
                <w:rFonts w:ascii="Rockwell" w:eastAsia="Rockwell" w:hAnsi="Rockwell" w:cs="Rockwell"/>
                <w:sz w:val="24"/>
                <w:szCs w:val="24"/>
              </w:rPr>
            </w:pPr>
          </w:p>
          <w:p w:rsidR="0085313A" w:rsidRPr="004A76D7" w:rsidRDefault="0085313A" w:rsidP="000E7DFC">
            <w:pPr>
              <w:jc w:val="both"/>
              <w:rPr>
                <w:rFonts w:ascii="Rockwell" w:eastAsia="Rockwell" w:hAnsi="Rockwell" w:cs="Rockwell"/>
                <w:sz w:val="24"/>
                <w:szCs w:val="24"/>
              </w:rPr>
            </w:pPr>
            <w:r w:rsidRPr="004A76D7">
              <w:rPr>
                <w:rFonts w:ascii="Rockwell" w:eastAsia="Rockwell" w:hAnsi="Rockwell" w:cs="Rockwell"/>
                <w:sz w:val="24"/>
                <w:szCs w:val="24"/>
              </w:rPr>
              <w:t>Section 176 recognizes the requirement for ESIA prior the issuance of the mining license</w:t>
            </w:r>
          </w:p>
          <w:p w:rsidR="0085313A" w:rsidRPr="004A76D7" w:rsidRDefault="0085313A" w:rsidP="000E7DFC">
            <w:pPr>
              <w:jc w:val="both"/>
              <w:rPr>
                <w:rFonts w:ascii="Rockwell" w:eastAsia="Rockwell" w:hAnsi="Rockwell" w:cs="Rockwell"/>
                <w:sz w:val="24"/>
                <w:szCs w:val="24"/>
              </w:rPr>
            </w:pPr>
          </w:p>
          <w:p w:rsidR="0085313A" w:rsidRPr="004A76D7" w:rsidRDefault="0085313A" w:rsidP="000E7DFC">
            <w:pPr>
              <w:jc w:val="both"/>
              <w:rPr>
                <w:rFonts w:ascii="Rockwell" w:eastAsia="Rockwell" w:hAnsi="Rockwell" w:cs="Rockwell"/>
                <w:sz w:val="24"/>
                <w:szCs w:val="24"/>
              </w:rPr>
            </w:pPr>
            <w:r w:rsidRPr="004A76D7">
              <w:rPr>
                <w:rFonts w:ascii="Rockwell" w:eastAsia="Rockwell" w:hAnsi="Rockwell" w:cs="Rockwell"/>
                <w:sz w:val="24"/>
                <w:szCs w:val="24"/>
              </w:rPr>
              <w:t>Section 221 gives provisions for publication of manuals, codes and guidelines on environmental matters</w:t>
            </w:r>
          </w:p>
        </w:tc>
        <w:tc>
          <w:tcPr>
            <w:tcW w:w="2410" w:type="dxa"/>
          </w:tcPr>
          <w:p w:rsidR="0085313A" w:rsidRPr="004A76D7" w:rsidRDefault="0085313A" w:rsidP="000E7DFC">
            <w:pPr>
              <w:jc w:val="both"/>
              <w:rPr>
                <w:rFonts w:ascii="Rockwell" w:eastAsia="Rockwell" w:hAnsi="Rockwell" w:cs="Rockwell"/>
                <w:sz w:val="24"/>
                <w:szCs w:val="24"/>
              </w:rPr>
            </w:pPr>
            <w:r w:rsidRPr="004A76D7">
              <w:rPr>
                <w:rFonts w:ascii="Rockwell" w:eastAsia="Rockwell" w:hAnsi="Rockwell" w:cs="Rockwell"/>
                <w:sz w:val="24"/>
                <w:szCs w:val="24"/>
              </w:rPr>
              <w:t>Mining (license and permit) Regulations, 2017</w:t>
            </w:r>
          </w:p>
          <w:p w:rsidR="0085313A" w:rsidRPr="004A76D7" w:rsidRDefault="0085313A" w:rsidP="000E7DFC">
            <w:pPr>
              <w:jc w:val="both"/>
              <w:rPr>
                <w:rFonts w:ascii="Rockwell" w:eastAsia="Rockwell" w:hAnsi="Rockwell" w:cs="Rockwell"/>
                <w:sz w:val="24"/>
                <w:szCs w:val="24"/>
              </w:rPr>
            </w:pPr>
          </w:p>
          <w:p w:rsidR="004520FD" w:rsidRPr="004A76D7" w:rsidRDefault="0085313A" w:rsidP="000E7DFC">
            <w:pPr>
              <w:jc w:val="both"/>
              <w:rPr>
                <w:rFonts w:ascii="Rockwell" w:eastAsia="Rockwell" w:hAnsi="Rockwell" w:cs="Rockwell"/>
                <w:sz w:val="24"/>
                <w:szCs w:val="24"/>
              </w:rPr>
            </w:pPr>
            <w:r w:rsidRPr="004A76D7">
              <w:rPr>
                <w:rFonts w:ascii="Rockwell" w:eastAsia="Rockwell" w:hAnsi="Rockwell" w:cs="Rockwell"/>
                <w:sz w:val="24"/>
                <w:szCs w:val="24"/>
              </w:rPr>
              <w:t>Mining (</w:t>
            </w:r>
            <w:r w:rsidR="004520FD" w:rsidRPr="004A76D7">
              <w:rPr>
                <w:rFonts w:ascii="Rockwell" w:eastAsia="Rockwell" w:hAnsi="Rockwell" w:cs="Rockwell"/>
                <w:sz w:val="24"/>
                <w:szCs w:val="24"/>
              </w:rPr>
              <w:t xml:space="preserve">Work </w:t>
            </w:r>
            <w:proofErr w:type="spellStart"/>
            <w:r w:rsidR="004520FD" w:rsidRPr="004A76D7">
              <w:rPr>
                <w:rFonts w:ascii="Rockwell" w:eastAsia="Rockwell" w:hAnsi="Rockwell" w:cs="Rockwell"/>
                <w:sz w:val="24"/>
                <w:szCs w:val="24"/>
              </w:rPr>
              <w:t>Programmes</w:t>
            </w:r>
            <w:proofErr w:type="spellEnd"/>
            <w:r w:rsidR="004520FD" w:rsidRPr="004A76D7">
              <w:rPr>
                <w:rFonts w:ascii="Rockwell" w:eastAsia="Rockwell" w:hAnsi="Rockwell" w:cs="Rockwell"/>
                <w:sz w:val="24"/>
                <w:szCs w:val="24"/>
              </w:rPr>
              <w:t xml:space="preserve"> and Exploration Reports) Guideline, 2017</w:t>
            </w:r>
          </w:p>
          <w:p w:rsidR="0085313A" w:rsidRPr="004A76D7" w:rsidRDefault="0085313A" w:rsidP="000E7DFC">
            <w:pPr>
              <w:jc w:val="both"/>
              <w:rPr>
                <w:rFonts w:ascii="Rockwell" w:eastAsia="Rockwell" w:hAnsi="Rockwell" w:cs="Rockwell"/>
                <w:sz w:val="24"/>
                <w:szCs w:val="24"/>
              </w:rPr>
            </w:pPr>
          </w:p>
          <w:p w:rsidR="0085313A" w:rsidRPr="004A76D7" w:rsidRDefault="0085313A" w:rsidP="001A28F3">
            <w:pPr>
              <w:shd w:val="clear" w:color="auto" w:fill="FFFFFF" w:themeFill="background1"/>
              <w:jc w:val="both"/>
              <w:rPr>
                <w:rFonts w:ascii="Rockwell" w:eastAsia="Rockwell" w:hAnsi="Rockwell" w:cs="Rockwell"/>
                <w:sz w:val="24"/>
                <w:szCs w:val="24"/>
              </w:rPr>
            </w:pPr>
            <w:r w:rsidRPr="004A76D7">
              <w:rPr>
                <w:rFonts w:ascii="Rockwell" w:eastAsia="Rockwell" w:hAnsi="Rockwell" w:cs="Rockwell"/>
                <w:sz w:val="24"/>
                <w:szCs w:val="24"/>
              </w:rPr>
              <w:t>Artisanal Mining Committee Manual, 2024</w:t>
            </w:r>
          </w:p>
          <w:p w:rsidR="0085313A" w:rsidRPr="004A76D7" w:rsidRDefault="0085313A" w:rsidP="000E7DFC">
            <w:pPr>
              <w:jc w:val="both"/>
              <w:rPr>
                <w:rFonts w:ascii="Rockwell" w:eastAsia="Rockwell" w:hAnsi="Rockwell" w:cs="Rockwell"/>
                <w:sz w:val="24"/>
                <w:szCs w:val="24"/>
              </w:rPr>
            </w:pPr>
          </w:p>
          <w:p w:rsidR="004520FD" w:rsidRPr="004A76D7" w:rsidRDefault="00E50222" w:rsidP="000E7DFC">
            <w:pPr>
              <w:shd w:val="clear" w:color="auto" w:fill="FFFF00"/>
              <w:jc w:val="both"/>
              <w:rPr>
                <w:rFonts w:ascii="Rockwell" w:eastAsia="Rockwell" w:hAnsi="Rockwell" w:cs="Rockwell"/>
                <w:sz w:val="24"/>
                <w:szCs w:val="24"/>
              </w:rPr>
            </w:pPr>
            <w:r w:rsidRPr="004A76D7">
              <w:rPr>
                <w:rFonts w:ascii="Rockwell" w:eastAsia="Rockwell" w:hAnsi="Rockwell" w:cs="Rockwell"/>
                <w:sz w:val="24"/>
                <w:szCs w:val="24"/>
              </w:rPr>
              <w:t>Mining (</w:t>
            </w:r>
            <w:r w:rsidR="0085313A" w:rsidRPr="004A76D7">
              <w:rPr>
                <w:rFonts w:ascii="Rockwell" w:eastAsia="Rockwell" w:hAnsi="Rockwell" w:cs="Rockwell"/>
                <w:sz w:val="24"/>
                <w:szCs w:val="24"/>
              </w:rPr>
              <w:t>Mine Health and Safety</w:t>
            </w:r>
            <w:r w:rsidRPr="004A76D7">
              <w:rPr>
                <w:rFonts w:ascii="Rockwell" w:eastAsia="Rockwell" w:hAnsi="Rockwell" w:cs="Rockwell"/>
                <w:sz w:val="24"/>
                <w:szCs w:val="24"/>
              </w:rPr>
              <w:t>)</w:t>
            </w:r>
            <w:r w:rsidR="0085313A" w:rsidRPr="004A76D7">
              <w:rPr>
                <w:rFonts w:ascii="Rockwell" w:eastAsia="Rockwell" w:hAnsi="Rockwell" w:cs="Rockwell"/>
                <w:sz w:val="24"/>
                <w:szCs w:val="24"/>
              </w:rPr>
              <w:t xml:space="preserve"> Regulation, 2024</w:t>
            </w:r>
          </w:p>
          <w:p w:rsidR="004520FD" w:rsidRPr="004A76D7" w:rsidRDefault="004520FD" w:rsidP="000E7DFC">
            <w:pPr>
              <w:jc w:val="both"/>
              <w:rPr>
                <w:rFonts w:ascii="Rockwell" w:eastAsia="Rockwell" w:hAnsi="Rockwell" w:cs="Rockwell"/>
                <w:sz w:val="24"/>
                <w:szCs w:val="24"/>
              </w:rPr>
            </w:pPr>
          </w:p>
          <w:p w:rsidR="0085313A" w:rsidRPr="004A76D7" w:rsidRDefault="00E50222" w:rsidP="000E7DFC">
            <w:pPr>
              <w:jc w:val="both"/>
              <w:rPr>
                <w:rFonts w:ascii="Rockwell" w:eastAsia="Rockwell" w:hAnsi="Rockwell" w:cs="Rockwell"/>
                <w:sz w:val="24"/>
                <w:szCs w:val="24"/>
              </w:rPr>
            </w:pPr>
            <w:r w:rsidRPr="004A76D7">
              <w:rPr>
                <w:rFonts w:ascii="Rockwell" w:eastAsia="Rockwell" w:hAnsi="Rockwell" w:cs="Rockwell"/>
                <w:sz w:val="24"/>
                <w:szCs w:val="24"/>
              </w:rPr>
              <w:t xml:space="preserve">Mining (Community Development Agreement) Regulations, 2017 </w:t>
            </w:r>
          </w:p>
          <w:p w:rsidR="00E50222" w:rsidRPr="004A76D7" w:rsidRDefault="00E50222" w:rsidP="000E7DFC">
            <w:pPr>
              <w:jc w:val="both"/>
              <w:rPr>
                <w:rFonts w:ascii="Rockwell" w:eastAsia="Rockwell" w:hAnsi="Rockwell" w:cs="Rockwell"/>
                <w:sz w:val="24"/>
                <w:szCs w:val="24"/>
              </w:rPr>
            </w:pPr>
          </w:p>
          <w:p w:rsidR="00E50222" w:rsidRPr="004A76D7" w:rsidRDefault="00E50222" w:rsidP="000E7DFC">
            <w:pPr>
              <w:jc w:val="both"/>
              <w:rPr>
                <w:rFonts w:ascii="Rockwell" w:eastAsia="Rockwell" w:hAnsi="Rockwell" w:cs="Rockwell"/>
                <w:sz w:val="24"/>
                <w:szCs w:val="24"/>
              </w:rPr>
            </w:pPr>
            <w:r w:rsidRPr="004A76D7">
              <w:rPr>
                <w:rFonts w:ascii="Rockwell" w:eastAsia="Rockwell" w:hAnsi="Rockwell" w:cs="Rockwell"/>
                <w:sz w:val="24"/>
                <w:szCs w:val="24"/>
              </w:rPr>
              <w:t>Mining (Strategic Minerals) Regulations, 2017</w:t>
            </w:r>
          </w:p>
          <w:p w:rsidR="00310872" w:rsidRPr="004A76D7" w:rsidRDefault="00310872" w:rsidP="000E7DFC">
            <w:pPr>
              <w:spacing w:before="240" w:after="180"/>
              <w:jc w:val="both"/>
              <w:rPr>
                <w:rFonts w:ascii="Rockwell" w:eastAsia="Rockwell" w:hAnsi="Rockwell" w:cs="Rockwell"/>
                <w:color w:val="333333"/>
                <w:sz w:val="24"/>
                <w:szCs w:val="24"/>
              </w:rPr>
            </w:pPr>
            <w:r w:rsidRPr="004A76D7">
              <w:rPr>
                <w:rFonts w:ascii="Rockwell" w:eastAsia="Rockwell" w:hAnsi="Rockwell" w:cs="Rockwell"/>
                <w:color w:val="333333"/>
                <w:sz w:val="24"/>
                <w:szCs w:val="24"/>
              </w:rPr>
              <w:t>Mining (Use of Assets) Regulations, 2017</w:t>
            </w:r>
          </w:p>
          <w:p w:rsidR="00310872" w:rsidRDefault="00310872" w:rsidP="000E7DFC">
            <w:pPr>
              <w:spacing w:before="240" w:after="180"/>
              <w:jc w:val="both"/>
              <w:rPr>
                <w:rFonts w:ascii="Rockwell" w:eastAsia="Rockwell" w:hAnsi="Rockwell" w:cs="Rockwell"/>
                <w:color w:val="333333"/>
                <w:sz w:val="24"/>
                <w:szCs w:val="24"/>
              </w:rPr>
            </w:pPr>
            <w:r w:rsidRPr="004A76D7">
              <w:rPr>
                <w:rFonts w:ascii="Rockwell" w:eastAsia="Rockwell" w:hAnsi="Rockwell" w:cs="Rockwell"/>
                <w:color w:val="333333"/>
                <w:sz w:val="24"/>
                <w:szCs w:val="24"/>
              </w:rPr>
              <w:t>Mining (Mine support services) Regulation 2017</w:t>
            </w:r>
            <w:r w:rsidR="001A28F3">
              <w:rPr>
                <w:rFonts w:ascii="Rockwell" w:eastAsia="Rockwell" w:hAnsi="Rockwell" w:cs="Rockwell"/>
                <w:color w:val="333333"/>
                <w:sz w:val="24"/>
                <w:szCs w:val="24"/>
              </w:rPr>
              <w:t>.</w:t>
            </w:r>
          </w:p>
          <w:p w:rsidR="001A28F3" w:rsidRPr="004A76D7" w:rsidRDefault="001A28F3" w:rsidP="000E7DFC">
            <w:pPr>
              <w:spacing w:before="240" w:after="180"/>
              <w:jc w:val="both"/>
              <w:rPr>
                <w:rFonts w:ascii="Rockwell" w:eastAsia="Rockwell" w:hAnsi="Rockwell" w:cs="Rockwell"/>
                <w:sz w:val="24"/>
                <w:szCs w:val="24"/>
              </w:rPr>
            </w:pPr>
            <w:r>
              <w:rPr>
                <w:rFonts w:ascii="Rockwell" w:eastAsia="Rockwell" w:hAnsi="Rockwell" w:cs="Rockwell"/>
                <w:color w:val="333333"/>
                <w:sz w:val="24"/>
                <w:szCs w:val="24"/>
              </w:rPr>
              <w:t>Mining (Dealings in minerals) Regulations, 2017</w:t>
            </w:r>
          </w:p>
        </w:tc>
        <w:tc>
          <w:tcPr>
            <w:tcW w:w="1985" w:type="dxa"/>
          </w:tcPr>
          <w:p w:rsidR="004520FD" w:rsidRPr="004A76D7" w:rsidRDefault="00E50222" w:rsidP="000E7DFC">
            <w:pPr>
              <w:ind w:left="100" w:hanging="100"/>
              <w:jc w:val="both"/>
              <w:rPr>
                <w:rFonts w:ascii="Rockwell" w:eastAsia="Rockwell" w:hAnsi="Rockwell" w:cs="Rockwell"/>
                <w:sz w:val="24"/>
                <w:szCs w:val="24"/>
              </w:rPr>
            </w:pPr>
            <w:r w:rsidRPr="004A76D7">
              <w:rPr>
                <w:rFonts w:ascii="Rockwell" w:eastAsia="Rockwell" w:hAnsi="Rockwell" w:cs="Rockwell"/>
                <w:sz w:val="24"/>
                <w:szCs w:val="24"/>
              </w:rPr>
              <w:t xml:space="preserve">Ministry of </w:t>
            </w:r>
            <w:r w:rsidR="004520FD" w:rsidRPr="004A76D7">
              <w:rPr>
                <w:rFonts w:ascii="Rockwell" w:eastAsia="Rockwell" w:hAnsi="Rockwell" w:cs="Rockwell"/>
                <w:sz w:val="24"/>
                <w:szCs w:val="24"/>
              </w:rPr>
              <w:t>Mining,</w:t>
            </w:r>
            <w:r w:rsidRPr="004A76D7">
              <w:rPr>
                <w:rFonts w:ascii="Rockwell" w:eastAsia="Rockwell" w:hAnsi="Rockwell" w:cs="Rockwell"/>
                <w:sz w:val="24"/>
                <w:szCs w:val="24"/>
              </w:rPr>
              <w:t xml:space="preserve"> Blue Economy and Maritime Affairs,</w:t>
            </w:r>
            <w:r w:rsidR="004520FD" w:rsidRPr="004A76D7">
              <w:rPr>
                <w:rFonts w:ascii="Rockwell" w:eastAsia="Rockwell" w:hAnsi="Rockwell" w:cs="Rockwell"/>
                <w:sz w:val="24"/>
                <w:szCs w:val="24"/>
              </w:rPr>
              <w:t xml:space="preserve"> </w:t>
            </w:r>
            <w:r w:rsidRPr="004A76D7">
              <w:rPr>
                <w:rFonts w:ascii="Rockwell" w:eastAsia="Rockwell" w:hAnsi="Rockwell" w:cs="Rockwell"/>
                <w:sz w:val="24"/>
                <w:szCs w:val="24"/>
              </w:rPr>
              <w:t xml:space="preserve">SDM, DOSHS, NEMA, KNCHR, </w:t>
            </w:r>
            <w:r w:rsidR="004520FD" w:rsidRPr="004A76D7">
              <w:rPr>
                <w:rFonts w:ascii="Rockwell" w:eastAsia="Rockwell" w:hAnsi="Rockwell" w:cs="Rockwell"/>
                <w:sz w:val="24"/>
                <w:szCs w:val="24"/>
              </w:rPr>
              <w:t>National Mining Corporation, Minerals and Metals Commodity exchange</w:t>
            </w:r>
            <w:r w:rsidRPr="004A76D7">
              <w:rPr>
                <w:rFonts w:ascii="Rockwell" w:eastAsia="Rockwell" w:hAnsi="Rockwell" w:cs="Rockwell"/>
                <w:sz w:val="24"/>
                <w:szCs w:val="24"/>
              </w:rPr>
              <w:t xml:space="preserve">, </w:t>
            </w:r>
          </w:p>
        </w:tc>
      </w:tr>
      <w:tr w:rsidR="00E50222" w:rsidRPr="004A76D7" w:rsidTr="00EC7926">
        <w:trPr>
          <w:trHeight w:val="2117"/>
        </w:trPr>
        <w:tc>
          <w:tcPr>
            <w:tcW w:w="705" w:type="dxa"/>
          </w:tcPr>
          <w:p w:rsidR="00E50222" w:rsidRPr="004A76D7" w:rsidRDefault="00E50222" w:rsidP="000E7DFC">
            <w:pPr>
              <w:jc w:val="both"/>
              <w:rPr>
                <w:rFonts w:ascii="Rockwell" w:eastAsia="Rockwell" w:hAnsi="Rockwell" w:cs="Rockwell"/>
                <w:sz w:val="24"/>
                <w:szCs w:val="24"/>
              </w:rPr>
            </w:pPr>
          </w:p>
        </w:tc>
        <w:tc>
          <w:tcPr>
            <w:tcW w:w="990" w:type="dxa"/>
            <w:vMerge/>
          </w:tcPr>
          <w:p w:rsidR="00E50222" w:rsidRPr="004A76D7" w:rsidRDefault="00E50222" w:rsidP="000E7DFC">
            <w:pPr>
              <w:pBdr>
                <w:top w:val="nil"/>
                <w:left w:val="nil"/>
                <w:bottom w:val="nil"/>
                <w:right w:val="nil"/>
                <w:between w:val="nil"/>
              </w:pBdr>
              <w:jc w:val="both"/>
              <w:rPr>
                <w:rFonts w:ascii="Rockwell" w:eastAsia="Rockwell" w:hAnsi="Rockwell" w:cs="Rockwell"/>
                <w:sz w:val="24"/>
                <w:szCs w:val="24"/>
              </w:rPr>
            </w:pPr>
          </w:p>
        </w:tc>
        <w:tc>
          <w:tcPr>
            <w:tcW w:w="2130" w:type="dxa"/>
          </w:tcPr>
          <w:p w:rsidR="00E50222" w:rsidRPr="004A76D7" w:rsidRDefault="00E50222" w:rsidP="000E7DFC">
            <w:pPr>
              <w:jc w:val="both"/>
              <w:rPr>
                <w:rFonts w:ascii="Rockwell" w:eastAsia="Rockwell" w:hAnsi="Rockwell" w:cs="Rockwell"/>
                <w:sz w:val="24"/>
                <w:szCs w:val="24"/>
              </w:rPr>
            </w:pPr>
            <w:r w:rsidRPr="004A76D7">
              <w:rPr>
                <w:rFonts w:ascii="Rockwell" w:eastAsia="Rockwell" w:hAnsi="Rockwell" w:cs="Rockwell"/>
                <w:sz w:val="24"/>
                <w:szCs w:val="24"/>
              </w:rPr>
              <w:t>OSHA 2007</w:t>
            </w:r>
          </w:p>
        </w:tc>
        <w:tc>
          <w:tcPr>
            <w:tcW w:w="2554" w:type="dxa"/>
          </w:tcPr>
          <w:p w:rsidR="00402470" w:rsidRPr="00764C8C" w:rsidRDefault="00402470" w:rsidP="00402470">
            <w:pPr>
              <w:jc w:val="both"/>
            </w:pPr>
            <w:r w:rsidRPr="00764C8C">
              <w:rPr>
                <w:rFonts w:ascii="Rockwell" w:hAnsi="Rockwell"/>
                <w:bCs/>
                <w:sz w:val="24"/>
                <w:szCs w:val="24"/>
              </w:rPr>
              <w:t xml:space="preserve">Section 9 requires the establishment of a </w:t>
            </w:r>
            <w:r w:rsidRPr="00764C8C">
              <w:t xml:space="preserve">Safety and health committees at the workplace </w:t>
            </w:r>
          </w:p>
          <w:p w:rsidR="00402470" w:rsidRPr="00764C8C" w:rsidRDefault="00402470" w:rsidP="00402470">
            <w:pPr>
              <w:jc w:val="both"/>
              <w:rPr>
                <w:rFonts w:ascii="Rockwell" w:hAnsi="Rockwell"/>
                <w:bCs/>
                <w:sz w:val="24"/>
                <w:szCs w:val="24"/>
              </w:rPr>
            </w:pPr>
            <w:r w:rsidRPr="00764C8C">
              <w:rPr>
                <w:rFonts w:ascii="Rockwell" w:hAnsi="Rockwell"/>
                <w:bCs/>
                <w:sz w:val="24"/>
                <w:szCs w:val="24"/>
              </w:rPr>
              <w:t xml:space="preserve"> </w:t>
            </w:r>
          </w:p>
          <w:p w:rsidR="00402470" w:rsidRPr="00764C8C" w:rsidRDefault="00402470" w:rsidP="00402470">
            <w:pPr>
              <w:jc w:val="both"/>
              <w:rPr>
                <w:rFonts w:eastAsia="Times New Roman"/>
              </w:rPr>
            </w:pPr>
            <w:r w:rsidRPr="00764C8C">
              <w:rPr>
                <w:rFonts w:ascii="Rockwell" w:hAnsi="Rockwell"/>
                <w:bCs/>
                <w:sz w:val="24"/>
                <w:szCs w:val="24"/>
              </w:rPr>
              <w:t>Section 11 requires the undertaking of the s</w:t>
            </w:r>
            <w:r w:rsidRPr="00764C8C">
              <w:t>afety and health audits in work places.</w:t>
            </w:r>
          </w:p>
          <w:p w:rsidR="00402470" w:rsidRPr="00764C8C" w:rsidRDefault="00402470" w:rsidP="00402470">
            <w:pPr>
              <w:jc w:val="both"/>
              <w:rPr>
                <w:rFonts w:ascii="Rockwell" w:hAnsi="Rockwell"/>
                <w:bCs/>
                <w:sz w:val="24"/>
                <w:szCs w:val="24"/>
              </w:rPr>
            </w:pPr>
            <w:r w:rsidRPr="00764C8C">
              <w:rPr>
                <w:rFonts w:ascii="Rockwell" w:hAnsi="Rockwell"/>
                <w:bCs/>
                <w:sz w:val="24"/>
                <w:szCs w:val="24"/>
              </w:rPr>
              <w:t xml:space="preserve"> </w:t>
            </w:r>
          </w:p>
          <w:p w:rsidR="00402470" w:rsidRPr="00764C8C" w:rsidRDefault="00402470" w:rsidP="00402470">
            <w:pPr>
              <w:jc w:val="both"/>
              <w:rPr>
                <w:rFonts w:eastAsia="Times New Roman"/>
              </w:rPr>
            </w:pPr>
            <w:r w:rsidRPr="00764C8C">
              <w:rPr>
                <w:rFonts w:ascii="Rockwell" w:hAnsi="Rockwell"/>
                <w:bCs/>
                <w:sz w:val="24"/>
                <w:szCs w:val="24"/>
              </w:rPr>
              <w:t xml:space="preserve">Section 14 </w:t>
            </w:r>
            <w:r w:rsidR="000372EE" w:rsidRPr="00764C8C">
              <w:rPr>
                <w:rFonts w:ascii="Rockwell" w:hAnsi="Rockwell"/>
                <w:bCs/>
                <w:sz w:val="24"/>
                <w:szCs w:val="24"/>
              </w:rPr>
              <w:t>states</w:t>
            </w:r>
            <w:r w:rsidRPr="00764C8C">
              <w:rPr>
                <w:rFonts w:ascii="Rockwell" w:hAnsi="Rockwell"/>
                <w:bCs/>
                <w:sz w:val="24"/>
                <w:szCs w:val="24"/>
              </w:rPr>
              <w:t xml:space="preserve"> that the </w:t>
            </w:r>
            <w:r w:rsidR="000372EE" w:rsidRPr="00764C8C">
              <w:rPr>
                <w:rFonts w:ascii="Rockwell" w:hAnsi="Rockwell"/>
                <w:bCs/>
                <w:sz w:val="24"/>
                <w:szCs w:val="24"/>
              </w:rPr>
              <w:t>work place owners have the d</w:t>
            </w:r>
            <w:r w:rsidRPr="00764C8C">
              <w:t xml:space="preserve">uty to report any dangerous situation </w:t>
            </w:r>
            <w:r w:rsidR="000372EE" w:rsidRPr="00764C8C">
              <w:t>in their work places.</w:t>
            </w:r>
          </w:p>
          <w:p w:rsidR="00402470" w:rsidRPr="00764C8C" w:rsidRDefault="00402470" w:rsidP="00402470">
            <w:pPr>
              <w:jc w:val="both"/>
              <w:rPr>
                <w:rFonts w:ascii="Rockwell" w:hAnsi="Rockwell"/>
                <w:bCs/>
                <w:sz w:val="24"/>
                <w:szCs w:val="24"/>
              </w:rPr>
            </w:pPr>
            <w:r w:rsidRPr="00764C8C">
              <w:rPr>
                <w:rFonts w:ascii="Rockwell" w:hAnsi="Rockwell"/>
                <w:bCs/>
                <w:sz w:val="24"/>
                <w:szCs w:val="24"/>
              </w:rPr>
              <w:t xml:space="preserve"> </w:t>
            </w:r>
          </w:p>
          <w:p w:rsidR="00402470" w:rsidRPr="00764C8C" w:rsidRDefault="000372EE" w:rsidP="00402470">
            <w:pPr>
              <w:jc w:val="both"/>
              <w:rPr>
                <w:rFonts w:eastAsia="Times New Roman"/>
              </w:rPr>
            </w:pPr>
            <w:r w:rsidRPr="00764C8C">
              <w:rPr>
                <w:rFonts w:ascii="Rockwell" w:hAnsi="Rockwell"/>
                <w:bCs/>
                <w:sz w:val="24"/>
                <w:szCs w:val="24"/>
              </w:rPr>
              <w:t xml:space="preserve">Section </w:t>
            </w:r>
            <w:r w:rsidR="00402470" w:rsidRPr="00764C8C">
              <w:rPr>
                <w:rFonts w:ascii="Rockwell" w:hAnsi="Rockwell"/>
                <w:bCs/>
                <w:sz w:val="24"/>
                <w:szCs w:val="24"/>
              </w:rPr>
              <w:t xml:space="preserve">16 </w:t>
            </w:r>
            <w:r w:rsidR="00402470" w:rsidRPr="00764C8C">
              <w:t xml:space="preserve">Prohibition against creation of hazards where No person shall engage in any improper activity or </w:t>
            </w:r>
            <w:r w:rsidRPr="00764C8C">
              <w:t>behavior</w:t>
            </w:r>
            <w:r w:rsidR="00402470" w:rsidRPr="00764C8C">
              <w:t xml:space="preserve"> at the workplace, which might create or constitute a hazard to that person or any other person.</w:t>
            </w:r>
          </w:p>
          <w:p w:rsidR="00402470" w:rsidRPr="00764C8C" w:rsidRDefault="00402470" w:rsidP="00402470">
            <w:pPr>
              <w:jc w:val="both"/>
              <w:rPr>
                <w:rFonts w:ascii="Rockwell" w:hAnsi="Rockwell"/>
                <w:bCs/>
                <w:sz w:val="24"/>
                <w:szCs w:val="24"/>
              </w:rPr>
            </w:pPr>
            <w:r w:rsidRPr="00764C8C">
              <w:rPr>
                <w:rFonts w:ascii="Rockwell" w:hAnsi="Rockwell"/>
                <w:bCs/>
                <w:sz w:val="24"/>
                <w:szCs w:val="24"/>
              </w:rPr>
              <w:t xml:space="preserve"> </w:t>
            </w:r>
          </w:p>
          <w:p w:rsidR="00402470" w:rsidRPr="00764C8C" w:rsidRDefault="000372EE" w:rsidP="00402470">
            <w:pPr>
              <w:jc w:val="both"/>
              <w:rPr>
                <w:rFonts w:eastAsia="Times New Roman"/>
              </w:rPr>
            </w:pPr>
            <w:r w:rsidRPr="00764C8C">
              <w:rPr>
                <w:rFonts w:ascii="Rockwell" w:hAnsi="Rockwell"/>
                <w:bCs/>
                <w:sz w:val="24"/>
                <w:szCs w:val="24"/>
              </w:rPr>
              <w:t xml:space="preserve">Section </w:t>
            </w:r>
            <w:r w:rsidR="00402470" w:rsidRPr="00764C8C">
              <w:rPr>
                <w:rFonts w:ascii="Rockwell" w:hAnsi="Rockwell"/>
                <w:bCs/>
                <w:sz w:val="24"/>
                <w:szCs w:val="24"/>
              </w:rPr>
              <w:t xml:space="preserve">21 </w:t>
            </w:r>
            <w:r w:rsidRPr="00764C8C">
              <w:rPr>
                <w:rFonts w:ascii="Rockwell" w:hAnsi="Rockwell"/>
                <w:bCs/>
                <w:sz w:val="24"/>
                <w:szCs w:val="24"/>
              </w:rPr>
              <w:t xml:space="preserve">requires that </w:t>
            </w:r>
            <w:r w:rsidR="00402470" w:rsidRPr="00764C8C">
              <w:t>Notice of accidents and dangerous occurrences</w:t>
            </w:r>
            <w:r w:rsidRPr="00764C8C">
              <w:t xml:space="preserve"> are given</w:t>
            </w:r>
            <w:r w:rsidR="00402470" w:rsidRPr="00764C8C">
              <w:t xml:space="preserve">. </w:t>
            </w:r>
          </w:p>
          <w:p w:rsidR="00402470" w:rsidRPr="00764C8C" w:rsidRDefault="00402470" w:rsidP="00402470">
            <w:pPr>
              <w:jc w:val="both"/>
              <w:rPr>
                <w:rFonts w:ascii="Rockwell" w:hAnsi="Rockwell"/>
                <w:bCs/>
                <w:sz w:val="24"/>
                <w:szCs w:val="24"/>
              </w:rPr>
            </w:pPr>
            <w:r w:rsidRPr="00764C8C">
              <w:rPr>
                <w:rFonts w:ascii="Rockwell" w:hAnsi="Rockwell"/>
                <w:bCs/>
                <w:sz w:val="24"/>
                <w:szCs w:val="24"/>
              </w:rPr>
              <w:t xml:space="preserve"> </w:t>
            </w:r>
          </w:p>
          <w:p w:rsidR="00402470" w:rsidRPr="00764C8C" w:rsidRDefault="000372EE" w:rsidP="00402470">
            <w:pPr>
              <w:jc w:val="both"/>
              <w:rPr>
                <w:rFonts w:eastAsia="Times New Roman"/>
              </w:rPr>
            </w:pPr>
            <w:r w:rsidRPr="00764C8C">
              <w:rPr>
                <w:rFonts w:ascii="Rockwell" w:hAnsi="Rockwell"/>
                <w:bCs/>
                <w:sz w:val="24"/>
                <w:szCs w:val="24"/>
              </w:rPr>
              <w:t xml:space="preserve">Section </w:t>
            </w:r>
            <w:r w:rsidR="00402470" w:rsidRPr="00764C8C">
              <w:rPr>
                <w:rFonts w:ascii="Rockwell" w:hAnsi="Rockwell"/>
                <w:bCs/>
                <w:sz w:val="24"/>
                <w:szCs w:val="24"/>
              </w:rPr>
              <w:t xml:space="preserve">44 </w:t>
            </w:r>
            <w:r w:rsidRPr="00764C8C">
              <w:rPr>
                <w:rFonts w:ascii="Rockwell" w:hAnsi="Rockwell"/>
                <w:bCs/>
                <w:sz w:val="24"/>
                <w:szCs w:val="24"/>
              </w:rPr>
              <w:t xml:space="preserve">requires the </w:t>
            </w:r>
            <w:r w:rsidRPr="00764C8C">
              <w:t>Registration of workplaces b</w:t>
            </w:r>
            <w:r w:rsidR="00402470" w:rsidRPr="00764C8C">
              <w:t>efore any person occupies or us</w:t>
            </w:r>
            <w:r w:rsidRPr="00764C8C">
              <w:t>es any premises as a workplace</w:t>
            </w:r>
          </w:p>
          <w:p w:rsidR="00402470" w:rsidRPr="00764C8C" w:rsidRDefault="00402470" w:rsidP="00402470">
            <w:pPr>
              <w:jc w:val="both"/>
              <w:rPr>
                <w:rFonts w:ascii="Rockwell" w:hAnsi="Rockwell"/>
                <w:bCs/>
                <w:sz w:val="24"/>
                <w:szCs w:val="24"/>
              </w:rPr>
            </w:pPr>
            <w:r w:rsidRPr="00764C8C">
              <w:rPr>
                <w:rFonts w:ascii="Rockwell" w:hAnsi="Rockwell"/>
                <w:bCs/>
                <w:sz w:val="24"/>
                <w:szCs w:val="24"/>
              </w:rPr>
              <w:t xml:space="preserve"> </w:t>
            </w:r>
          </w:p>
          <w:p w:rsidR="00402470" w:rsidRPr="00764C8C" w:rsidRDefault="000372EE" w:rsidP="00402470">
            <w:pPr>
              <w:jc w:val="both"/>
              <w:rPr>
                <w:rFonts w:eastAsia="Times New Roman"/>
              </w:rPr>
            </w:pPr>
            <w:r w:rsidRPr="00764C8C">
              <w:rPr>
                <w:rFonts w:ascii="Rockwell" w:hAnsi="Rockwell"/>
                <w:bCs/>
                <w:sz w:val="24"/>
                <w:szCs w:val="24"/>
              </w:rPr>
              <w:t xml:space="preserve">Section </w:t>
            </w:r>
            <w:r w:rsidR="00402470" w:rsidRPr="00764C8C">
              <w:rPr>
                <w:rFonts w:ascii="Rockwell" w:hAnsi="Rockwell"/>
                <w:bCs/>
                <w:sz w:val="24"/>
                <w:szCs w:val="24"/>
              </w:rPr>
              <w:t xml:space="preserve">49 </w:t>
            </w:r>
            <w:r w:rsidRPr="00764C8C">
              <w:rPr>
                <w:rFonts w:ascii="Rockwell" w:hAnsi="Rockwell"/>
                <w:bCs/>
                <w:sz w:val="24"/>
                <w:szCs w:val="24"/>
              </w:rPr>
              <w:t xml:space="preserve">highlights the requirements for </w:t>
            </w:r>
            <w:r w:rsidR="00402470" w:rsidRPr="00764C8C">
              <w:t xml:space="preserve">ventilation where   an occupier shall ensure that effective and </w:t>
            </w:r>
            <w:r w:rsidR="00402470" w:rsidRPr="00764C8C">
              <w:lastRenderedPageBreak/>
              <w:t>suitable provision is made for securing and maintaining, by the circulation of fresh air in each workroom, the adequate ventilation of the room.</w:t>
            </w:r>
          </w:p>
          <w:p w:rsidR="00402470" w:rsidRPr="00764C8C" w:rsidRDefault="00402470" w:rsidP="00402470">
            <w:pPr>
              <w:jc w:val="both"/>
              <w:rPr>
                <w:rFonts w:ascii="Rockwell" w:hAnsi="Rockwell"/>
                <w:bCs/>
                <w:sz w:val="24"/>
                <w:szCs w:val="24"/>
              </w:rPr>
            </w:pPr>
            <w:r w:rsidRPr="00764C8C">
              <w:rPr>
                <w:rFonts w:ascii="Rockwell" w:hAnsi="Rockwell"/>
                <w:bCs/>
                <w:sz w:val="24"/>
                <w:szCs w:val="24"/>
              </w:rPr>
              <w:t xml:space="preserve"> </w:t>
            </w:r>
          </w:p>
          <w:p w:rsidR="00402470" w:rsidRPr="00764C8C" w:rsidRDefault="000372EE" w:rsidP="00402470">
            <w:pPr>
              <w:jc w:val="both"/>
              <w:rPr>
                <w:rFonts w:eastAsia="Times New Roman"/>
              </w:rPr>
            </w:pPr>
            <w:r w:rsidRPr="00764C8C">
              <w:rPr>
                <w:rFonts w:ascii="Rockwell" w:hAnsi="Rockwell"/>
                <w:bCs/>
                <w:sz w:val="24"/>
                <w:szCs w:val="24"/>
              </w:rPr>
              <w:t xml:space="preserve">Section </w:t>
            </w:r>
            <w:r w:rsidR="00402470" w:rsidRPr="00764C8C">
              <w:rPr>
                <w:rFonts w:ascii="Rockwell" w:hAnsi="Rockwell"/>
                <w:bCs/>
                <w:sz w:val="24"/>
                <w:szCs w:val="24"/>
              </w:rPr>
              <w:t xml:space="preserve">50 </w:t>
            </w:r>
            <w:r w:rsidR="00764C8C" w:rsidRPr="00764C8C">
              <w:rPr>
                <w:rFonts w:ascii="Rockwell" w:hAnsi="Rockwell"/>
                <w:bCs/>
                <w:sz w:val="24"/>
                <w:szCs w:val="24"/>
              </w:rPr>
              <w:t xml:space="preserve">requires </w:t>
            </w:r>
            <w:r w:rsidR="00402470" w:rsidRPr="00764C8C">
              <w:t xml:space="preserve">an occupier </w:t>
            </w:r>
            <w:r w:rsidR="00764C8C" w:rsidRPr="00764C8C">
              <w:t xml:space="preserve">to </w:t>
            </w:r>
            <w:r w:rsidR="00402470" w:rsidRPr="00764C8C">
              <w:t>ensure that effective provision is made for securing and maintaining sufficient and suitable lighting, whether natural or artificial, in every part of his workplace in which persons are working or passing.</w:t>
            </w:r>
          </w:p>
          <w:p w:rsidR="00402470" w:rsidRPr="00764C8C" w:rsidRDefault="00402470" w:rsidP="00402470">
            <w:pPr>
              <w:jc w:val="both"/>
              <w:rPr>
                <w:rFonts w:ascii="Rockwell" w:hAnsi="Rockwell"/>
                <w:bCs/>
                <w:sz w:val="24"/>
                <w:szCs w:val="24"/>
              </w:rPr>
            </w:pPr>
            <w:r w:rsidRPr="00764C8C">
              <w:rPr>
                <w:rFonts w:ascii="Rockwell" w:hAnsi="Rockwell"/>
                <w:bCs/>
                <w:sz w:val="24"/>
                <w:szCs w:val="24"/>
              </w:rPr>
              <w:t xml:space="preserve"> </w:t>
            </w:r>
          </w:p>
          <w:p w:rsidR="00402470" w:rsidRPr="00764C8C" w:rsidRDefault="00764C8C" w:rsidP="00402470">
            <w:pPr>
              <w:jc w:val="both"/>
              <w:rPr>
                <w:rFonts w:eastAsia="Times New Roman"/>
              </w:rPr>
            </w:pPr>
            <w:r w:rsidRPr="00764C8C">
              <w:rPr>
                <w:rFonts w:ascii="Rockwell" w:hAnsi="Rockwell"/>
                <w:bCs/>
                <w:sz w:val="24"/>
                <w:szCs w:val="24"/>
              </w:rPr>
              <w:t xml:space="preserve">Section </w:t>
            </w:r>
            <w:r w:rsidR="00402470" w:rsidRPr="00764C8C">
              <w:rPr>
                <w:rFonts w:ascii="Rockwell" w:hAnsi="Rockwell"/>
                <w:bCs/>
                <w:sz w:val="24"/>
                <w:szCs w:val="24"/>
              </w:rPr>
              <w:t xml:space="preserve">52 </w:t>
            </w:r>
            <w:r w:rsidRPr="00764C8C">
              <w:rPr>
                <w:rFonts w:ascii="Rockwell" w:hAnsi="Rockwell"/>
                <w:bCs/>
                <w:sz w:val="24"/>
                <w:szCs w:val="24"/>
              </w:rPr>
              <w:t xml:space="preserve">has the requirements for provision of </w:t>
            </w:r>
            <w:r w:rsidR="00402470" w:rsidRPr="00764C8C">
              <w:t>Sufficient and suitable sanitary conveniences for the persons employed in the workplace shall be provided, maintained and kept clean.</w:t>
            </w:r>
          </w:p>
          <w:p w:rsidR="00402470" w:rsidRPr="00764C8C" w:rsidRDefault="00402470" w:rsidP="00402470">
            <w:pPr>
              <w:jc w:val="both"/>
              <w:rPr>
                <w:rFonts w:ascii="Rockwell" w:hAnsi="Rockwell"/>
                <w:bCs/>
                <w:sz w:val="24"/>
                <w:szCs w:val="24"/>
              </w:rPr>
            </w:pPr>
            <w:r w:rsidRPr="00764C8C">
              <w:rPr>
                <w:rFonts w:ascii="Rockwell" w:hAnsi="Rockwell"/>
                <w:bCs/>
                <w:sz w:val="24"/>
                <w:szCs w:val="24"/>
              </w:rPr>
              <w:t xml:space="preserve"> </w:t>
            </w:r>
          </w:p>
          <w:p w:rsidR="00402470" w:rsidRPr="00764C8C" w:rsidRDefault="00764C8C" w:rsidP="00402470">
            <w:pPr>
              <w:jc w:val="both"/>
              <w:rPr>
                <w:rFonts w:eastAsia="Times New Roman"/>
              </w:rPr>
            </w:pPr>
            <w:r w:rsidRPr="00764C8C">
              <w:rPr>
                <w:rFonts w:ascii="Rockwell" w:hAnsi="Rockwell"/>
                <w:bCs/>
                <w:sz w:val="24"/>
                <w:szCs w:val="24"/>
              </w:rPr>
              <w:t xml:space="preserve">Section </w:t>
            </w:r>
            <w:r w:rsidR="00402470" w:rsidRPr="00764C8C">
              <w:rPr>
                <w:rFonts w:ascii="Rockwell" w:hAnsi="Rockwell"/>
                <w:bCs/>
                <w:sz w:val="24"/>
                <w:szCs w:val="24"/>
              </w:rPr>
              <w:t xml:space="preserve">64 </w:t>
            </w:r>
            <w:r w:rsidRPr="00764C8C">
              <w:rPr>
                <w:rFonts w:ascii="Rockwell" w:hAnsi="Rockwell"/>
                <w:bCs/>
                <w:sz w:val="24"/>
                <w:szCs w:val="24"/>
              </w:rPr>
              <w:t xml:space="preserve">has the provisions for the </w:t>
            </w:r>
            <w:r w:rsidR="00402470" w:rsidRPr="00764C8C">
              <w:t>C</w:t>
            </w:r>
            <w:r w:rsidRPr="00764C8C">
              <w:t>hains, ropes and lifting tackle operations.</w:t>
            </w:r>
          </w:p>
          <w:p w:rsidR="00402470" w:rsidRPr="00764C8C" w:rsidRDefault="00402470" w:rsidP="00402470">
            <w:pPr>
              <w:jc w:val="both"/>
              <w:rPr>
                <w:rFonts w:ascii="Rockwell" w:hAnsi="Rockwell"/>
                <w:bCs/>
                <w:sz w:val="24"/>
                <w:szCs w:val="24"/>
              </w:rPr>
            </w:pPr>
            <w:r w:rsidRPr="00764C8C">
              <w:rPr>
                <w:rFonts w:ascii="Rockwell" w:hAnsi="Rockwell"/>
                <w:bCs/>
                <w:sz w:val="24"/>
                <w:szCs w:val="24"/>
              </w:rPr>
              <w:t xml:space="preserve"> </w:t>
            </w:r>
          </w:p>
          <w:p w:rsidR="00402470" w:rsidRPr="00764C8C" w:rsidRDefault="00764C8C" w:rsidP="00402470">
            <w:pPr>
              <w:rPr>
                <w:rFonts w:eastAsia="Times New Roman"/>
              </w:rPr>
            </w:pPr>
            <w:r w:rsidRPr="00764C8C">
              <w:rPr>
                <w:rFonts w:ascii="Rockwell" w:hAnsi="Rockwell"/>
                <w:bCs/>
                <w:sz w:val="24"/>
                <w:szCs w:val="24"/>
              </w:rPr>
              <w:t xml:space="preserve">Section </w:t>
            </w:r>
            <w:r w:rsidR="00402470" w:rsidRPr="00764C8C">
              <w:rPr>
                <w:rFonts w:ascii="Rockwell" w:hAnsi="Rockwell"/>
                <w:bCs/>
                <w:sz w:val="24"/>
                <w:szCs w:val="24"/>
              </w:rPr>
              <w:t xml:space="preserve">101 </w:t>
            </w:r>
            <w:r w:rsidRPr="00764C8C">
              <w:rPr>
                <w:rFonts w:ascii="Rockwell" w:hAnsi="Rockwell"/>
                <w:bCs/>
                <w:sz w:val="24"/>
                <w:szCs w:val="24"/>
              </w:rPr>
              <w:t xml:space="preserve">has the requirements for </w:t>
            </w:r>
            <w:r w:rsidR="00402470" w:rsidRPr="00764C8C">
              <w:t xml:space="preserve">Protective clothing and appliances where employees are employed in any process involving exposure to wet or to any injurious or offensive substance, adequate, effective and suitable protective clothing and </w:t>
            </w:r>
            <w:r w:rsidR="00402470" w:rsidRPr="00764C8C">
              <w:lastRenderedPageBreak/>
              <w:t>appliances, including, where necessary, suitable gloves, footwear, goggles and head coverings.</w:t>
            </w:r>
          </w:p>
          <w:p w:rsidR="00402470" w:rsidRPr="00764C8C" w:rsidRDefault="00402470" w:rsidP="000E7DFC">
            <w:pPr>
              <w:jc w:val="both"/>
              <w:rPr>
                <w:rFonts w:ascii="Rockwell" w:eastAsia="Rockwell" w:hAnsi="Rockwell" w:cs="Rockwell"/>
                <w:sz w:val="24"/>
                <w:szCs w:val="24"/>
              </w:rPr>
            </w:pPr>
          </w:p>
        </w:tc>
        <w:tc>
          <w:tcPr>
            <w:tcW w:w="2410" w:type="dxa"/>
          </w:tcPr>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r w:rsidRPr="004A76D7">
              <w:rPr>
                <w:rFonts w:ascii="Rockwell" w:eastAsiaTheme="minorHAnsi" w:hAnsi="Rockwell" w:cs="Rockwell"/>
                <w:bCs/>
                <w:sz w:val="24"/>
                <w:szCs w:val="24"/>
                <w:lang w:val="en-GB"/>
              </w:rPr>
              <w:lastRenderedPageBreak/>
              <w:t>Eyes protection rules L.N 44/1978</w:t>
            </w: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r w:rsidRPr="004A76D7">
              <w:rPr>
                <w:rFonts w:ascii="Rockwell" w:eastAsiaTheme="minorHAnsi" w:hAnsi="Rockwell" w:cs="Rockwell"/>
                <w:bCs/>
                <w:sz w:val="24"/>
                <w:szCs w:val="24"/>
                <w:lang w:val="en-GB"/>
              </w:rPr>
              <w:t>Building operations and works of engineering construction rules L.N 40/1984</w:t>
            </w: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r w:rsidRPr="004A76D7">
              <w:rPr>
                <w:rFonts w:ascii="Rockwell" w:eastAsiaTheme="minorHAnsi" w:hAnsi="Rockwell" w:cs="Rockwell"/>
                <w:bCs/>
                <w:sz w:val="24"/>
                <w:szCs w:val="24"/>
                <w:lang w:val="en-GB"/>
              </w:rPr>
              <w:t>Electric power special rules L.N 340/1979</w:t>
            </w: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r w:rsidRPr="004A76D7">
              <w:rPr>
                <w:rFonts w:ascii="Rockwell" w:eastAsiaTheme="minorHAnsi" w:hAnsi="Rockwell" w:cs="Rockwell"/>
                <w:bCs/>
                <w:sz w:val="24"/>
                <w:szCs w:val="24"/>
                <w:lang w:val="en-GB"/>
              </w:rPr>
              <w:t>First aid rules- L.N 160/1979.</w:t>
            </w: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r w:rsidRPr="004A76D7">
              <w:rPr>
                <w:rFonts w:ascii="Rockwell" w:eastAsiaTheme="minorHAnsi" w:hAnsi="Rockwell" w:cs="Rockwell"/>
                <w:bCs/>
                <w:sz w:val="24"/>
                <w:szCs w:val="24"/>
                <w:lang w:val="en-GB"/>
              </w:rPr>
              <w:t>Health and safety committee rules-L.N 31/2004</w:t>
            </w: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r w:rsidRPr="004A76D7">
              <w:rPr>
                <w:rFonts w:ascii="Rockwell" w:eastAsiaTheme="minorHAnsi" w:hAnsi="Rockwell" w:cs="Rockwell"/>
                <w:bCs/>
                <w:sz w:val="24"/>
                <w:szCs w:val="24"/>
                <w:lang w:val="en-GB"/>
              </w:rPr>
              <w:t>Medical examination Rules L.N 24/2005</w:t>
            </w: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r w:rsidRPr="004A76D7">
              <w:rPr>
                <w:rFonts w:ascii="Rockwell" w:eastAsiaTheme="minorHAnsi" w:hAnsi="Rockwell" w:cs="Rockwell"/>
                <w:bCs/>
                <w:sz w:val="24"/>
                <w:szCs w:val="24"/>
                <w:lang w:val="en-GB"/>
              </w:rPr>
              <w:t>Noise prevention and control Rules L.N 25/2005</w:t>
            </w: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r w:rsidRPr="004A76D7">
              <w:rPr>
                <w:rFonts w:ascii="Rockwell" w:eastAsiaTheme="minorHAnsi" w:hAnsi="Rockwell" w:cs="Rockwell"/>
                <w:bCs/>
                <w:sz w:val="24"/>
                <w:szCs w:val="24"/>
                <w:lang w:val="en-GB"/>
              </w:rPr>
              <w:t>Fire Risk Reduction Rules L.N. 59/2007</w:t>
            </w:r>
          </w:p>
          <w:p w:rsidR="00E50222" w:rsidRPr="004A76D7" w:rsidRDefault="00E50222" w:rsidP="000E7DFC">
            <w:pPr>
              <w:numPr>
                <w:ilvl w:val="255"/>
                <w:numId w:val="0"/>
              </w:numPr>
              <w:autoSpaceDE w:val="0"/>
              <w:autoSpaceDN w:val="0"/>
              <w:adjustRightInd w:val="0"/>
              <w:jc w:val="both"/>
              <w:rPr>
                <w:rFonts w:ascii="Rockwell" w:eastAsiaTheme="minorHAnsi" w:hAnsi="Rockwell" w:cs="Rockwell"/>
                <w:bCs/>
                <w:sz w:val="24"/>
                <w:szCs w:val="24"/>
                <w:lang w:val="en-GB"/>
              </w:rPr>
            </w:pPr>
          </w:p>
          <w:p w:rsidR="00E50222" w:rsidRPr="004A76D7" w:rsidRDefault="00E50222" w:rsidP="000E7DFC">
            <w:pPr>
              <w:autoSpaceDE w:val="0"/>
              <w:autoSpaceDN w:val="0"/>
              <w:adjustRightInd w:val="0"/>
              <w:jc w:val="both"/>
              <w:rPr>
                <w:rFonts w:ascii="Rockwell" w:hAnsi="Rockwell" w:cs="Rockwell"/>
                <w:bCs/>
                <w:sz w:val="24"/>
                <w:szCs w:val="24"/>
              </w:rPr>
            </w:pPr>
            <w:r w:rsidRPr="004A76D7">
              <w:rPr>
                <w:rFonts w:ascii="Rockwell" w:eastAsiaTheme="minorHAnsi" w:hAnsi="Rockwell" w:cs="Rockwell"/>
                <w:bCs/>
                <w:sz w:val="24"/>
                <w:szCs w:val="24"/>
                <w:lang w:val="en-GB"/>
              </w:rPr>
              <w:t>Hazardous Substances Rules L.N. 60/2007</w:t>
            </w:r>
          </w:p>
        </w:tc>
        <w:tc>
          <w:tcPr>
            <w:tcW w:w="1985" w:type="dxa"/>
          </w:tcPr>
          <w:p w:rsidR="00E50222" w:rsidRPr="004A76D7" w:rsidRDefault="00E50222" w:rsidP="000E7DFC">
            <w:pPr>
              <w:jc w:val="both"/>
              <w:rPr>
                <w:rFonts w:ascii="Rockwell" w:eastAsia="Rockwell" w:hAnsi="Rockwell" w:cs="Rockwell"/>
                <w:sz w:val="24"/>
                <w:szCs w:val="24"/>
              </w:rPr>
            </w:pPr>
            <w:r w:rsidRPr="004A76D7">
              <w:rPr>
                <w:rFonts w:ascii="Rockwell" w:eastAsia="Rockwell" w:hAnsi="Rockwell" w:cs="Rockwell"/>
                <w:sz w:val="24"/>
                <w:szCs w:val="24"/>
              </w:rPr>
              <w:t>Directorate of Occupational Safety and Health Services</w:t>
            </w:r>
          </w:p>
        </w:tc>
      </w:tr>
      <w:tr w:rsidR="004520FD" w:rsidRPr="004A76D7" w:rsidTr="00EC7926">
        <w:trPr>
          <w:trHeight w:val="680"/>
        </w:trPr>
        <w:tc>
          <w:tcPr>
            <w:tcW w:w="705" w:type="dxa"/>
          </w:tcPr>
          <w:p w:rsidR="004520FD" w:rsidRPr="004A76D7" w:rsidRDefault="004520FD" w:rsidP="000E7DFC">
            <w:pPr>
              <w:jc w:val="both"/>
              <w:rPr>
                <w:rFonts w:ascii="Rockwell" w:eastAsia="Rockwell" w:hAnsi="Rockwell" w:cs="Rockwell"/>
                <w:sz w:val="24"/>
                <w:szCs w:val="24"/>
              </w:rPr>
            </w:pPr>
          </w:p>
        </w:tc>
        <w:tc>
          <w:tcPr>
            <w:tcW w:w="990" w:type="dxa"/>
          </w:tcPr>
          <w:p w:rsidR="004520FD" w:rsidRPr="004A76D7" w:rsidRDefault="004520FD" w:rsidP="000E7DFC">
            <w:pPr>
              <w:jc w:val="both"/>
              <w:rPr>
                <w:rFonts w:ascii="Rockwell" w:eastAsia="Rockwell" w:hAnsi="Rockwell" w:cs="Rockwell"/>
                <w:sz w:val="24"/>
                <w:szCs w:val="24"/>
              </w:rPr>
            </w:pPr>
          </w:p>
        </w:tc>
        <w:tc>
          <w:tcPr>
            <w:tcW w:w="2130" w:type="dxa"/>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Explosives Act, Cap 115</w:t>
            </w:r>
          </w:p>
        </w:tc>
        <w:tc>
          <w:tcPr>
            <w:tcW w:w="2554" w:type="dxa"/>
          </w:tcPr>
          <w:p w:rsidR="00764C8C" w:rsidRPr="00EF6E2A" w:rsidRDefault="00764C8C" w:rsidP="00764C8C">
            <w:pPr>
              <w:jc w:val="both"/>
            </w:pPr>
            <w:r w:rsidRPr="00EF6E2A">
              <w:rPr>
                <w:rFonts w:ascii="Rockwell" w:hAnsi="Rockwell"/>
                <w:sz w:val="24"/>
                <w:szCs w:val="24"/>
              </w:rPr>
              <w:t xml:space="preserve">Section 18 </w:t>
            </w:r>
            <w:r w:rsidR="00EF6E2A" w:rsidRPr="00EF6E2A">
              <w:rPr>
                <w:rFonts w:ascii="Rockwell" w:hAnsi="Rockwell"/>
                <w:sz w:val="24"/>
                <w:szCs w:val="24"/>
              </w:rPr>
              <w:t>highlights the i</w:t>
            </w:r>
            <w:r w:rsidR="00EF6E2A" w:rsidRPr="00EF6E2A">
              <w:t xml:space="preserve">ssuance of </w:t>
            </w:r>
            <w:r w:rsidRPr="00EF6E2A">
              <w:t xml:space="preserve">any </w:t>
            </w:r>
            <w:proofErr w:type="spellStart"/>
            <w:r w:rsidRPr="00EF6E2A">
              <w:t>licence</w:t>
            </w:r>
            <w:proofErr w:type="spellEnd"/>
            <w:r w:rsidRPr="00EF6E2A">
              <w:t xml:space="preserve"> under this Act to erect, establish and maintain a factory for the manufacture of explosives shall, if granted, be issued by the Commissioner on payment of a sum of two thousand shillings</w:t>
            </w:r>
          </w:p>
          <w:p w:rsidR="00764C8C" w:rsidRPr="00EF6E2A" w:rsidRDefault="00764C8C" w:rsidP="00764C8C">
            <w:pPr>
              <w:jc w:val="both"/>
              <w:rPr>
                <w:rFonts w:ascii="Rockwell" w:hAnsi="Rockwell"/>
                <w:sz w:val="24"/>
                <w:szCs w:val="24"/>
              </w:rPr>
            </w:pPr>
            <w:r w:rsidRPr="00EF6E2A">
              <w:rPr>
                <w:rFonts w:ascii="Rockwell" w:hAnsi="Rockwell"/>
                <w:sz w:val="24"/>
                <w:szCs w:val="24"/>
              </w:rPr>
              <w:t xml:space="preserve"> </w:t>
            </w:r>
          </w:p>
          <w:p w:rsidR="00764C8C" w:rsidRPr="00EF6E2A" w:rsidRDefault="00764C8C" w:rsidP="00764C8C">
            <w:pPr>
              <w:jc w:val="both"/>
            </w:pPr>
            <w:r w:rsidRPr="00EF6E2A">
              <w:rPr>
                <w:rFonts w:ascii="Rockwell" w:hAnsi="Rockwell"/>
                <w:sz w:val="24"/>
                <w:szCs w:val="24"/>
              </w:rPr>
              <w:t xml:space="preserve">Section 20 </w:t>
            </w:r>
            <w:r w:rsidR="00EF6E2A" w:rsidRPr="00EF6E2A">
              <w:rPr>
                <w:rFonts w:ascii="Rockwell" w:hAnsi="Rockwell"/>
                <w:sz w:val="24"/>
                <w:szCs w:val="24"/>
              </w:rPr>
              <w:t>highlights the aspects of license t</w:t>
            </w:r>
            <w:r w:rsidR="00EF6E2A" w:rsidRPr="00EF6E2A">
              <w:t xml:space="preserve">ransfer </w:t>
            </w:r>
            <w:r w:rsidRPr="00EF6E2A">
              <w:t>into the name of another person</w:t>
            </w:r>
          </w:p>
          <w:p w:rsidR="00764C8C" w:rsidRPr="00EF6E2A" w:rsidRDefault="00764C8C" w:rsidP="00764C8C">
            <w:pPr>
              <w:jc w:val="both"/>
              <w:rPr>
                <w:rFonts w:ascii="Rockwell" w:hAnsi="Rockwell"/>
                <w:sz w:val="24"/>
                <w:szCs w:val="24"/>
              </w:rPr>
            </w:pPr>
            <w:r w:rsidRPr="00EF6E2A">
              <w:rPr>
                <w:rFonts w:ascii="Rockwell" w:hAnsi="Rockwell"/>
                <w:sz w:val="24"/>
                <w:szCs w:val="24"/>
              </w:rPr>
              <w:t xml:space="preserve"> </w:t>
            </w:r>
          </w:p>
          <w:p w:rsidR="00764C8C" w:rsidRPr="00EF6E2A" w:rsidRDefault="00764C8C" w:rsidP="00764C8C">
            <w:pPr>
              <w:jc w:val="both"/>
            </w:pPr>
            <w:r w:rsidRPr="00EF6E2A">
              <w:rPr>
                <w:rFonts w:ascii="Rockwell" w:hAnsi="Rockwell"/>
                <w:sz w:val="24"/>
                <w:szCs w:val="24"/>
              </w:rPr>
              <w:t xml:space="preserve">Section 21 </w:t>
            </w:r>
            <w:r w:rsidR="00EF6E2A" w:rsidRPr="00EF6E2A">
              <w:rPr>
                <w:rFonts w:ascii="Rockwell" w:hAnsi="Rockwell"/>
                <w:sz w:val="24"/>
                <w:szCs w:val="24"/>
              </w:rPr>
              <w:t>stipulates the requirements of license r</w:t>
            </w:r>
            <w:r w:rsidRPr="00EF6E2A">
              <w:t>evocation and lapse of same</w:t>
            </w:r>
          </w:p>
          <w:p w:rsidR="00764C8C" w:rsidRPr="00EF6E2A" w:rsidRDefault="00764C8C" w:rsidP="00764C8C">
            <w:pPr>
              <w:jc w:val="both"/>
              <w:rPr>
                <w:rFonts w:ascii="Rockwell" w:hAnsi="Rockwell"/>
                <w:sz w:val="24"/>
                <w:szCs w:val="24"/>
              </w:rPr>
            </w:pPr>
            <w:r w:rsidRPr="00EF6E2A">
              <w:rPr>
                <w:rFonts w:ascii="Rockwell" w:hAnsi="Rockwell"/>
                <w:sz w:val="24"/>
                <w:szCs w:val="24"/>
              </w:rPr>
              <w:t xml:space="preserve"> </w:t>
            </w:r>
          </w:p>
          <w:p w:rsidR="00764C8C" w:rsidRPr="00EF6E2A" w:rsidRDefault="00764C8C" w:rsidP="00764C8C">
            <w:pPr>
              <w:jc w:val="both"/>
            </w:pPr>
            <w:r w:rsidRPr="00EF6E2A">
              <w:rPr>
                <w:rFonts w:ascii="Rockwell" w:hAnsi="Rockwell"/>
                <w:sz w:val="24"/>
                <w:szCs w:val="24"/>
              </w:rPr>
              <w:t xml:space="preserve">Section 24 </w:t>
            </w:r>
            <w:r w:rsidR="00EF6E2A" w:rsidRPr="00EF6E2A">
              <w:rPr>
                <w:rFonts w:ascii="Rockwell" w:hAnsi="Rockwell"/>
                <w:sz w:val="24"/>
                <w:szCs w:val="24"/>
              </w:rPr>
              <w:t>– states the p</w:t>
            </w:r>
            <w:r w:rsidRPr="00EF6E2A">
              <w:t xml:space="preserve">owers </w:t>
            </w:r>
            <w:r w:rsidR="00EF6E2A" w:rsidRPr="00EF6E2A">
              <w:t xml:space="preserve">given to </w:t>
            </w:r>
            <w:r w:rsidRPr="00EF6E2A">
              <w:t>inspectors to enter and inspect premises</w:t>
            </w:r>
          </w:p>
          <w:p w:rsidR="00764C8C" w:rsidRPr="00EF6E2A" w:rsidRDefault="00764C8C" w:rsidP="00764C8C">
            <w:pPr>
              <w:jc w:val="both"/>
              <w:rPr>
                <w:rFonts w:ascii="Rockwell" w:hAnsi="Rockwell"/>
                <w:sz w:val="24"/>
                <w:szCs w:val="24"/>
              </w:rPr>
            </w:pPr>
            <w:r w:rsidRPr="00EF6E2A">
              <w:rPr>
                <w:rFonts w:ascii="Rockwell" w:hAnsi="Rockwell"/>
                <w:sz w:val="24"/>
                <w:szCs w:val="24"/>
              </w:rPr>
              <w:t xml:space="preserve"> </w:t>
            </w:r>
          </w:p>
          <w:p w:rsidR="00764C8C" w:rsidRPr="00EF6E2A" w:rsidRDefault="00764C8C" w:rsidP="00764C8C">
            <w:r w:rsidRPr="00EF6E2A">
              <w:rPr>
                <w:rFonts w:ascii="Rockwell" w:hAnsi="Rockwell"/>
                <w:sz w:val="24"/>
                <w:szCs w:val="24"/>
              </w:rPr>
              <w:t xml:space="preserve">Section 28 </w:t>
            </w:r>
            <w:r w:rsidR="00EF6E2A" w:rsidRPr="00EF6E2A">
              <w:rPr>
                <w:rFonts w:ascii="Rockwell" w:hAnsi="Rockwell"/>
                <w:sz w:val="24"/>
                <w:szCs w:val="24"/>
              </w:rPr>
              <w:t>highlights the p</w:t>
            </w:r>
            <w:r w:rsidRPr="00EF6E2A">
              <w:t>enalties for endangering safety or causing loss of life -any person causing an explosion whereby life or property is endangered shall be guilty of an offence and liable to the following penalties</w:t>
            </w:r>
          </w:p>
          <w:p w:rsidR="004520FD" w:rsidRPr="00EF6E2A" w:rsidRDefault="004520FD" w:rsidP="000E7DFC">
            <w:pPr>
              <w:jc w:val="both"/>
              <w:rPr>
                <w:rFonts w:ascii="Rockwell" w:eastAsia="Rockwell" w:hAnsi="Rockwell" w:cs="Rockwell"/>
                <w:sz w:val="24"/>
                <w:szCs w:val="24"/>
              </w:rPr>
            </w:pPr>
          </w:p>
        </w:tc>
        <w:tc>
          <w:tcPr>
            <w:tcW w:w="2410" w:type="dxa"/>
            <w:shd w:val="clear" w:color="auto" w:fill="FFFFFF" w:themeFill="background1"/>
          </w:tcPr>
          <w:p w:rsidR="004520FD" w:rsidRPr="004A76D7" w:rsidRDefault="003C2141" w:rsidP="000E7DFC">
            <w:pPr>
              <w:spacing w:before="60"/>
              <w:ind w:right="780"/>
              <w:jc w:val="both"/>
              <w:rPr>
                <w:rFonts w:ascii="Rockwell" w:eastAsia="Rockwell" w:hAnsi="Rockwell" w:cs="Rockwell"/>
                <w:sz w:val="24"/>
                <w:szCs w:val="24"/>
              </w:rPr>
            </w:pPr>
            <w:r w:rsidRPr="004A76D7">
              <w:rPr>
                <w:rFonts w:ascii="Rockwell" w:eastAsia="Rockwell" w:hAnsi="Rockwell" w:cs="Rockwell"/>
                <w:sz w:val="24"/>
                <w:szCs w:val="24"/>
              </w:rPr>
              <w:t>Explosives (Blasting explosives) rules, L.N. no 94 of 2010</w:t>
            </w:r>
          </w:p>
        </w:tc>
        <w:tc>
          <w:tcPr>
            <w:tcW w:w="1985" w:type="dxa"/>
          </w:tcPr>
          <w:p w:rsidR="004520FD" w:rsidRPr="004A76D7" w:rsidRDefault="00E50222" w:rsidP="000E7DFC">
            <w:pPr>
              <w:jc w:val="both"/>
              <w:rPr>
                <w:rFonts w:ascii="Rockwell" w:eastAsia="Rockwell" w:hAnsi="Rockwell" w:cs="Rockwell"/>
                <w:sz w:val="24"/>
                <w:szCs w:val="24"/>
              </w:rPr>
            </w:pPr>
            <w:r w:rsidRPr="004A76D7">
              <w:rPr>
                <w:rFonts w:ascii="Rockwell" w:eastAsia="Rockwell" w:hAnsi="Rockwell" w:cs="Rockwell"/>
                <w:sz w:val="24"/>
                <w:szCs w:val="24"/>
              </w:rPr>
              <w:t>Ministry of Mining, Blue Economy and Maritime Affairs</w:t>
            </w:r>
            <w:r w:rsidR="004520FD" w:rsidRPr="004A76D7">
              <w:rPr>
                <w:rFonts w:ascii="Rockwell" w:eastAsia="Rockwell" w:hAnsi="Rockwell" w:cs="Rockwell"/>
                <w:sz w:val="24"/>
                <w:szCs w:val="24"/>
              </w:rPr>
              <w:t>,</w:t>
            </w:r>
            <w:r w:rsidRPr="004A76D7">
              <w:rPr>
                <w:rFonts w:ascii="Rockwell" w:eastAsia="Rockwell" w:hAnsi="Rockwell" w:cs="Rockwell"/>
                <w:sz w:val="24"/>
                <w:szCs w:val="24"/>
              </w:rPr>
              <w:t xml:space="preserve"> SDM, Director of Mines, NEMA, NPS, KDF, NIS</w:t>
            </w:r>
          </w:p>
        </w:tc>
      </w:tr>
      <w:tr w:rsidR="004520FD" w:rsidRPr="004A76D7" w:rsidTr="00EC7926">
        <w:trPr>
          <w:trHeight w:val="680"/>
        </w:trPr>
        <w:tc>
          <w:tcPr>
            <w:tcW w:w="705" w:type="dxa"/>
          </w:tcPr>
          <w:p w:rsidR="004520FD" w:rsidRPr="004A76D7" w:rsidRDefault="004520FD" w:rsidP="000E7DFC">
            <w:pPr>
              <w:jc w:val="both"/>
              <w:rPr>
                <w:rFonts w:ascii="Rockwell" w:eastAsia="Rockwell" w:hAnsi="Rockwell" w:cs="Rockwell"/>
                <w:sz w:val="24"/>
                <w:szCs w:val="24"/>
              </w:rPr>
            </w:pPr>
          </w:p>
        </w:tc>
        <w:tc>
          <w:tcPr>
            <w:tcW w:w="990" w:type="dxa"/>
          </w:tcPr>
          <w:p w:rsidR="004520FD" w:rsidRPr="004A76D7" w:rsidRDefault="004520FD" w:rsidP="000E7DFC">
            <w:pPr>
              <w:jc w:val="both"/>
              <w:rPr>
                <w:rFonts w:ascii="Rockwell" w:eastAsia="Rockwell" w:hAnsi="Rockwell" w:cs="Rockwell"/>
                <w:sz w:val="24"/>
                <w:szCs w:val="24"/>
              </w:rPr>
            </w:pPr>
          </w:p>
        </w:tc>
        <w:tc>
          <w:tcPr>
            <w:tcW w:w="2130" w:type="dxa"/>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Forest Conservation &amp; Management Act, 2016</w:t>
            </w:r>
          </w:p>
        </w:tc>
        <w:tc>
          <w:tcPr>
            <w:tcW w:w="2554" w:type="dxa"/>
            <w:shd w:val="clear" w:color="auto" w:fill="FFFFFF" w:themeFill="background1"/>
          </w:tcPr>
          <w:p w:rsidR="00D47409" w:rsidRDefault="00D47409" w:rsidP="00D47409">
            <w:r>
              <w:rPr>
                <w:rFonts w:ascii="Rockwell" w:hAnsi="Rockwell"/>
                <w:sz w:val="24"/>
                <w:szCs w:val="24"/>
                <w:highlight w:val="yellow"/>
              </w:rPr>
              <w:t>Section 46</w:t>
            </w:r>
            <w:r>
              <w:rPr>
                <w:rFonts w:ascii="Rockwell" w:hAnsi="Rockwell"/>
                <w:sz w:val="24"/>
                <w:szCs w:val="24"/>
              </w:rPr>
              <w:t xml:space="preserve"> states the requirements for </w:t>
            </w:r>
            <w:r w:rsidR="00EF0C27">
              <w:rPr>
                <w:rFonts w:ascii="Rockwell" w:hAnsi="Rockwell"/>
                <w:sz w:val="24"/>
                <w:szCs w:val="24"/>
              </w:rPr>
              <w:t xml:space="preserve">quarrying in a forest. KFS </w:t>
            </w:r>
            <w:r>
              <w:t>shall only give its consent for quarrying operations in a forest area where the area does not contain rare, threatened or endangered species; (b) the forest does not have any cultural importance or contain sacred trees or groves; (c) an independent Environmental Impact Assessment or audit has been carried out; (d) the forest is not an important catchment area or source of springs:</w:t>
            </w:r>
          </w:p>
          <w:p w:rsidR="004520FD" w:rsidRPr="004A76D7" w:rsidRDefault="004520FD" w:rsidP="000E7DFC">
            <w:pPr>
              <w:jc w:val="both"/>
              <w:rPr>
                <w:rFonts w:ascii="Rockwell" w:eastAsia="Rockwell" w:hAnsi="Rockwell" w:cs="Rockwell"/>
                <w:sz w:val="24"/>
                <w:szCs w:val="24"/>
              </w:rPr>
            </w:pPr>
          </w:p>
        </w:tc>
        <w:tc>
          <w:tcPr>
            <w:tcW w:w="2410" w:type="dxa"/>
            <w:shd w:val="clear" w:color="auto" w:fill="FFFF00"/>
          </w:tcPr>
          <w:p w:rsidR="004520FD" w:rsidRPr="004A76D7" w:rsidRDefault="004520FD" w:rsidP="000E7DFC">
            <w:pPr>
              <w:spacing w:before="60"/>
              <w:ind w:right="780"/>
              <w:jc w:val="both"/>
              <w:rPr>
                <w:rFonts w:ascii="Rockwell" w:eastAsia="Rockwell" w:hAnsi="Rockwell" w:cs="Rockwell"/>
                <w:color w:val="333333"/>
                <w:sz w:val="24"/>
                <w:szCs w:val="24"/>
              </w:rPr>
            </w:pPr>
          </w:p>
        </w:tc>
        <w:tc>
          <w:tcPr>
            <w:tcW w:w="1985" w:type="dxa"/>
          </w:tcPr>
          <w:p w:rsidR="004520FD" w:rsidRPr="004A76D7" w:rsidRDefault="00310872" w:rsidP="000E7DFC">
            <w:pPr>
              <w:jc w:val="both"/>
              <w:rPr>
                <w:rFonts w:ascii="Rockwell" w:eastAsia="Rockwell" w:hAnsi="Rockwell" w:cs="Rockwell"/>
                <w:sz w:val="24"/>
                <w:szCs w:val="24"/>
              </w:rPr>
            </w:pPr>
            <w:r w:rsidRPr="004A76D7">
              <w:rPr>
                <w:rFonts w:ascii="Rockwell" w:eastAsia="Rockwell" w:hAnsi="Rockwell" w:cs="Rockwell"/>
                <w:sz w:val="24"/>
                <w:szCs w:val="24"/>
              </w:rPr>
              <w:t xml:space="preserve">MECCF, SDF, </w:t>
            </w:r>
            <w:r w:rsidR="004520FD" w:rsidRPr="004A76D7">
              <w:rPr>
                <w:rFonts w:ascii="Rockwell" w:eastAsia="Rockwell" w:hAnsi="Rockwell" w:cs="Rockwell"/>
                <w:sz w:val="24"/>
                <w:szCs w:val="24"/>
              </w:rPr>
              <w:t xml:space="preserve">KFS, </w:t>
            </w:r>
            <w:r w:rsidRPr="004A76D7">
              <w:rPr>
                <w:rFonts w:ascii="Rockwell" w:eastAsia="Rockwell" w:hAnsi="Rockwell" w:cs="Rockwell"/>
                <w:sz w:val="24"/>
                <w:szCs w:val="24"/>
              </w:rPr>
              <w:t xml:space="preserve">NEMA, </w:t>
            </w:r>
            <w:r w:rsidR="004520FD" w:rsidRPr="004A76D7">
              <w:rPr>
                <w:rFonts w:ascii="Rockwell" w:eastAsia="Rockwell" w:hAnsi="Rockwell" w:cs="Rockwell"/>
                <w:sz w:val="24"/>
                <w:szCs w:val="24"/>
              </w:rPr>
              <w:t>County governments</w:t>
            </w:r>
            <w:r w:rsidRPr="004A76D7">
              <w:rPr>
                <w:rFonts w:ascii="Rockwell" w:eastAsia="Rockwell" w:hAnsi="Rockwell" w:cs="Rockwell"/>
                <w:sz w:val="24"/>
                <w:szCs w:val="24"/>
              </w:rPr>
              <w:t>, KWS, KEFRI, SDM</w:t>
            </w:r>
          </w:p>
        </w:tc>
      </w:tr>
      <w:tr w:rsidR="004520FD" w:rsidRPr="004A76D7" w:rsidTr="00EC7926">
        <w:trPr>
          <w:trHeight w:val="680"/>
        </w:trPr>
        <w:tc>
          <w:tcPr>
            <w:tcW w:w="705" w:type="dxa"/>
          </w:tcPr>
          <w:p w:rsidR="004520FD" w:rsidRPr="004A76D7" w:rsidRDefault="004520FD" w:rsidP="000E7DFC">
            <w:pPr>
              <w:jc w:val="both"/>
              <w:rPr>
                <w:rFonts w:ascii="Rockwell" w:eastAsia="Rockwell" w:hAnsi="Rockwell" w:cs="Rockwell"/>
                <w:sz w:val="24"/>
                <w:szCs w:val="24"/>
              </w:rPr>
            </w:pPr>
          </w:p>
        </w:tc>
        <w:tc>
          <w:tcPr>
            <w:tcW w:w="990" w:type="dxa"/>
            <w:vMerge w:val="restart"/>
          </w:tcPr>
          <w:p w:rsidR="004520FD" w:rsidRPr="004A76D7" w:rsidRDefault="004520FD" w:rsidP="000E7DFC">
            <w:pPr>
              <w:jc w:val="both"/>
              <w:rPr>
                <w:rFonts w:ascii="Rockwell" w:eastAsia="Rockwell" w:hAnsi="Rockwell" w:cs="Rockwell"/>
                <w:sz w:val="24"/>
                <w:szCs w:val="24"/>
              </w:rPr>
            </w:pPr>
          </w:p>
        </w:tc>
        <w:tc>
          <w:tcPr>
            <w:tcW w:w="2130" w:type="dxa"/>
            <w:vMerge w:val="restart"/>
          </w:tcPr>
          <w:p w:rsidR="004520FD" w:rsidRPr="004A76D7" w:rsidRDefault="004520FD" w:rsidP="000E7DFC">
            <w:pPr>
              <w:jc w:val="both"/>
              <w:rPr>
                <w:rFonts w:ascii="Rockwell" w:eastAsia="Rockwell" w:hAnsi="Rockwell" w:cs="Rockwell"/>
                <w:sz w:val="24"/>
                <w:szCs w:val="24"/>
              </w:rPr>
            </w:pPr>
            <w:r w:rsidRPr="004A76D7">
              <w:rPr>
                <w:rFonts w:ascii="Rockwell" w:eastAsia="Rockwell" w:hAnsi="Rockwell" w:cs="Rockwell"/>
                <w:sz w:val="24"/>
                <w:szCs w:val="24"/>
              </w:rPr>
              <w:t>Wildlife Conservation and Management  Act, 2013</w:t>
            </w:r>
          </w:p>
        </w:tc>
        <w:tc>
          <w:tcPr>
            <w:tcW w:w="2554" w:type="dxa"/>
            <w:vMerge w:val="restart"/>
          </w:tcPr>
          <w:p w:rsidR="00EF0C27" w:rsidRDefault="00EF0C27" w:rsidP="00EF0C27">
            <w:pPr>
              <w:jc w:val="both"/>
            </w:pPr>
            <w:r>
              <w:rPr>
                <w:rFonts w:ascii="Rockwell" w:hAnsi="Rockwell"/>
                <w:sz w:val="24"/>
                <w:szCs w:val="24"/>
                <w:highlight w:val="yellow"/>
              </w:rPr>
              <w:t xml:space="preserve">Section 45 </w:t>
            </w:r>
            <w:r>
              <w:t>Consent for mining and quarrying- No person shall mine or quarry in a national park without the approval and consent of the Service.</w:t>
            </w:r>
          </w:p>
          <w:p w:rsidR="00EF0C27" w:rsidRDefault="00EF0C27" w:rsidP="00EF0C27">
            <w:pPr>
              <w:jc w:val="both"/>
              <w:rPr>
                <w:rFonts w:ascii="Rockwell" w:hAnsi="Rockwell"/>
                <w:sz w:val="24"/>
                <w:szCs w:val="24"/>
                <w:highlight w:val="yellow"/>
              </w:rPr>
            </w:pPr>
            <w:r>
              <w:rPr>
                <w:rFonts w:ascii="Rockwell" w:hAnsi="Rockwell"/>
                <w:sz w:val="24"/>
                <w:szCs w:val="24"/>
                <w:highlight w:val="yellow"/>
              </w:rPr>
              <w:t xml:space="preserve"> </w:t>
            </w:r>
          </w:p>
          <w:p w:rsidR="00EF0C27" w:rsidRDefault="00EF0C27" w:rsidP="00EF0C27">
            <w:pPr>
              <w:jc w:val="both"/>
            </w:pPr>
            <w:r>
              <w:rPr>
                <w:rFonts w:ascii="Rockwell" w:hAnsi="Rockwell"/>
                <w:sz w:val="24"/>
                <w:szCs w:val="24"/>
                <w:highlight w:val="yellow"/>
              </w:rPr>
              <w:t xml:space="preserve">46 </w:t>
            </w:r>
            <w:r>
              <w:t>Protection of endangered and threatened ecosystems</w:t>
            </w:r>
          </w:p>
          <w:p w:rsidR="00EF0C27" w:rsidRDefault="00EF0C27" w:rsidP="00EF0C27">
            <w:pPr>
              <w:jc w:val="both"/>
              <w:rPr>
                <w:rFonts w:ascii="Rockwell" w:hAnsi="Rockwell"/>
                <w:sz w:val="24"/>
                <w:szCs w:val="24"/>
                <w:highlight w:val="yellow"/>
              </w:rPr>
            </w:pPr>
            <w:r>
              <w:rPr>
                <w:rFonts w:ascii="Rockwell" w:hAnsi="Rockwell"/>
                <w:sz w:val="24"/>
                <w:szCs w:val="24"/>
                <w:highlight w:val="yellow"/>
              </w:rPr>
              <w:t xml:space="preserve"> </w:t>
            </w:r>
          </w:p>
          <w:p w:rsidR="00EF0C27" w:rsidRDefault="00EF0C27" w:rsidP="00EF0C27">
            <w:r>
              <w:rPr>
                <w:rFonts w:ascii="Rockwell" w:hAnsi="Rockwell"/>
                <w:sz w:val="24"/>
                <w:szCs w:val="24"/>
                <w:highlight w:val="yellow"/>
              </w:rPr>
              <w:t>47</w:t>
            </w:r>
            <w:r>
              <w:rPr>
                <w:rFonts w:ascii="Rockwell" w:hAnsi="Rockwell"/>
                <w:sz w:val="24"/>
                <w:szCs w:val="24"/>
              </w:rPr>
              <w:t xml:space="preserve"> </w:t>
            </w:r>
            <w:r>
              <w:t>Endangered and threatened species</w:t>
            </w:r>
          </w:p>
          <w:p w:rsidR="004520FD" w:rsidRPr="004A76D7" w:rsidRDefault="004520FD" w:rsidP="000E7DFC">
            <w:pPr>
              <w:jc w:val="both"/>
              <w:rPr>
                <w:rFonts w:ascii="Rockwell" w:eastAsia="Rockwell" w:hAnsi="Rockwell" w:cs="Rockwell"/>
                <w:sz w:val="24"/>
                <w:szCs w:val="24"/>
              </w:rPr>
            </w:pPr>
          </w:p>
        </w:tc>
        <w:tc>
          <w:tcPr>
            <w:tcW w:w="2410" w:type="dxa"/>
            <w:vMerge w:val="restart"/>
            <w:shd w:val="clear" w:color="auto" w:fill="FFFF00"/>
          </w:tcPr>
          <w:p w:rsidR="004520FD" w:rsidRPr="004A76D7" w:rsidRDefault="004520FD" w:rsidP="000E7DFC">
            <w:pPr>
              <w:spacing w:before="240" w:after="240"/>
              <w:jc w:val="both"/>
              <w:rPr>
                <w:rFonts w:ascii="Rockwell" w:eastAsia="Rockwell" w:hAnsi="Rockwell" w:cs="Rockwell"/>
                <w:color w:val="333333"/>
                <w:sz w:val="24"/>
                <w:szCs w:val="24"/>
              </w:rPr>
            </w:pPr>
          </w:p>
        </w:tc>
        <w:tc>
          <w:tcPr>
            <w:tcW w:w="1985" w:type="dxa"/>
            <w:vMerge w:val="restart"/>
          </w:tcPr>
          <w:p w:rsidR="004520FD" w:rsidRPr="004A76D7" w:rsidRDefault="00310872" w:rsidP="000E7DFC">
            <w:pPr>
              <w:jc w:val="both"/>
              <w:rPr>
                <w:rFonts w:ascii="Rockwell" w:eastAsia="Rockwell" w:hAnsi="Rockwell" w:cs="Rockwell"/>
                <w:sz w:val="24"/>
                <w:szCs w:val="24"/>
              </w:rPr>
            </w:pPr>
            <w:r w:rsidRPr="004A76D7">
              <w:rPr>
                <w:rFonts w:ascii="Rockwell" w:eastAsia="Rockwell" w:hAnsi="Rockwell" w:cs="Rockwell"/>
                <w:sz w:val="24"/>
                <w:szCs w:val="24"/>
              </w:rPr>
              <w:t xml:space="preserve">MECCF, </w:t>
            </w:r>
            <w:r w:rsidR="004520FD" w:rsidRPr="004A76D7">
              <w:rPr>
                <w:rFonts w:ascii="Rockwell" w:eastAsia="Rockwell" w:hAnsi="Rockwell" w:cs="Rockwell"/>
                <w:sz w:val="24"/>
                <w:szCs w:val="24"/>
              </w:rPr>
              <w:t>KWS</w:t>
            </w:r>
            <w:r w:rsidRPr="004A76D7">
              <w:rPr>
                <w:rFonts w:ascii="Rockwell" w:eastAsia="Rockwell" w:hAnsi="Rockwell" w:cs="Rockwell"/>
                <w:sz w:val="24"/>
                <w:szCs w:val="24"/>
              </w:rPr>
              <w:t>, NEMA, KFS, County Governments, SDM</w:t>
            </w:r>
          </w:p>
          <w:p w:rsidR="004520FD" w:rsidRPr="004A76D7" w:rsidRDefault="004520FD" w:rsidP="000E7DFC">
            <w:pPr>
              <w:jc w:val="both"/>
              <w:rPr>
                <w:rFonts w:ascii="Rockwell" w:eastAsia="Rockwell" w:hAnsi="Rockwell" w:cs="Rockwell"/>
                <w:sz w:val="24"/>
                <w:szCs w:val="24"/>
              </w:rPr>
            </w:pPr>
          </w:p>
        </w:tc>
      </w:tr>
      <w:tr w:rsidR="004520FD" w:rsidRPr="004A76D7" w:rsidTr="00EC7926">
        <w:trPr>
          <w:trHeight w:val="360"/>
        </w:trPr>
        <w:tc>
          <w:tcPr>
            <w:tcW w:w="705" w:type="dxa"/>
          </w:tcPr>
          <w:p w:rsidR="004520FD" w:rsidRPr="004A76D7" w:rsidRDefault="004520FD" w:rsidP="000E7DFC">
            <w:pPr>
              <w:jc w:val="both"/>
              <w:rPr>
                <w:rFonts w:ascii="Rockwell" w:eastAsia="Rockwell" w:hAnsi="Rockwell" w:cs="Rockwell"/>
                <w:sz w:val="24"/>
                <w:szCs w:val="24"/>
              </w:rPr>
            </w:pPr>
          </w:p>
        </w:tc>
        <w:tc>
          <w:tcPr>
            <w:tcW w:w="990" w:type="dxa"/>
            <w:vMerge/>
          </w:tcPr>
          <w:p w:rsidR="004520FD" w:rsidRPr="004A76D7" w:rsidRDefault="004520FD" w:rsidP="000E7DFC">
            <w:pPr>
              <w:pBdr>
                <w:top w:val="nil"/>
                <w:left w:val="nil"/>
                <w:bottom w:val="nil"/>
                <w:right w:val="nil"/>
                <w:between w:val="nil"/>
              </w:pBdr>
              <w:jc w:val="both"/>
              <w:rPr>
                <w:rFonts w:ascii="Rockwell" w:eastAsia="Rockwell" w:hAnsi="Rockwell" w:cs="Rockwell"/>
                <w:sz w:val="24"/>
                <w:szCs w:val="24"/>
              </w:rPr>
            </w:pPr>
          </w:p>
        </w:tc>
        <w:tc>
          <w:tcPr>
            <w:tcW w:w="2130" w:type="dxa"/>
            <w:vMerge/>
          </w:tcPr>
          <w:p w:rsidR="004520FD" w:rsidRPr="004A76D7" w:rsidRDefault="004520FD" w:rsidP="000E7DFC">
            <w:pPr>
              <w:pBdr>
                <w:top w:val="nil"/>
                <w:left w:val="nil"/>
                <w:bottom w:val="nil"/>
                <w:right w:val="nil"/>
                <w:between w:val="nil"/>
              </w:pBdr>
              <w:jc w:val="both"/>
              <w:rPr>
                <w:rFonts w:ascii="Rockwell" w:eastAsia="Rockwell" w:hAnsi="Rockwell" w:cs="Rockwell"/>
                <w:sz w:val="24"/>
                <w:szCs w:val="24"/>
              </w:rPr>
            </w:pPr>
          </w:p>
        </w:tc>
        <w:tc>
          <w:tcPr>
            <w:tcW w:w="2554" w:type="dxa"/>
            <w:vMerge/>
          </w:tcPr>
          <w:p w:rsidR="004520FD" w:rsidRPr="004A76D7" w:rsidRDefault="004520FD" w:rsidP="000E7DFC">
            <w:pPr>
              <w:pBdr>
                <w:top w:val="nil"/>
                <w:left w:val="nil"/>
                <w:bottom w:val="nil"/>
                <w:right w:val="nil"/>
                <w:between w:val="nil"/>
              </w:pBdr>
              <w:jc w:val="both"/>
              <w:rPr>
                <w:rFonts w:ascii="Rockwell" w:eastAsia="Rockwell" w:hAnsi="Rockwell" w:cs="Rockwell"/>
                <w:sz w:val="24"/>
                <w:szCs w:val="24"/>
              </w:rPr>
            </w:pPr>
          </w:p>
        </w:tc>
        <w:tc>
          <w:tcPr>
            <w:tcW w:w="2410" w:type="dxa"/>
            <w:vMerge/>
            <w:shd w:val="clear" w:color="auto" w:fill="FFFF00"/>
          </w:tcPr>
          <w:p w:rsidR="004520FD" w:rsidRPr="004A76D7" w:rsidRDefault="004520FD" w:rsidP="000E7DFC">
            <w:pPr>
              <w:jc w:val="both"/>
              <w:rPr>
                <w:rFonts w:ascii="Rockwell" w:eastAsia="Rockwell" w:hAnsi="Rockwell" w:cs="Rockwell"/>
                <w:color w:val="333333"/>
                <w:sz w:val="24"/>
                <w:szCs w:val="24"/>
              </w:rPr>
            </w:pPr>
          </w:p>
        </w:tc>
        <w:tc>
          <w:tcPr>
            <w:tcW w:w="1985" w:type="dxa"/>
            <w:vMerge/>
          </w:tcPr>
          <w:p w:rsidR="004520FD" w:rsidRPr="004A76D7" w:rsidRDefault="004520FD" w:rsidP="000E7DFC">
            <w:pPr>
              <w:pBdr>
                <w:top w:val="nil"/>
                <w:left w:val="nil"/>
                <w:bottom w:val="nil"/>
                <w:right w:val="nil"/>
                <w:between w:val="nil"/>
              </w:pBdr>
              <w:jc w:val="both"/>
              <w:rPr>
                <w:rFonts w:ascii="Rockwell" w:eastAsia="Rockwell" w:hAnsi="Rockwell" w:cs="Rockwell"/>
                <w:sz w:val="24"/>
                <w:szCs w:val="24"/>
              </w:rPr>
            </w:pPr>
          </w:p>
        </w:tc>
      </w:tr>
      <w:tr w:rsidR="004520FD" w:rsidRPr="004A76D7" w:rsidTr="001A28F3">
        <w:trPr>
          <w:trHeight w:val="680"/>
        </w:trPr>
        <w:tc>
          <w:tcPr>
            <w:tcW w:w="705" w:type="dxa"/>
          </w:tcPr>
          <w:p w:rsidR="004520FD" w:rsidRPr="004A76D7" w:rsidRDefault="004520FD" w:rsidP="000E7DFC">
            <w:pPr>
              <w:jc w:val="both"/>
              <w:rPr>
                <w:rFonts w:ascii="Rockwell" w:eastAsia="Rockwell" w:hAnsi="Rockwell" w:cs="Rockwell"/>
                <w:sz w:val="24"/>
                <w:szCs w:val="24"/>
              </w:rPr>
            </w:pPr>
          </w:p>
        </w:tc>
        <w:tc>
          <w:tcPr>
            <w:tcW w:w="990" w:type="dxa"/>
          </w:tcPr>
          <w:p w:rsidR="004520FD" w:rsidRPr="004A76D7" w:rsidRDefault="004520FD" w:rsidP="000E7DFC">
            <w:pPr>
              <w:jc w:val="both"/>
              <w:rPr>
                <w:rFonts w:ascii="Rockwell" w:eastAsia="Rockwell" w:hAnsi="Rockwell" w:cs="Rockwell"/>
                <w:sz w:val="24"/>
                <w:szCs w:val="24"/>
              </w:rPr>
            </w:pPr>
          </w:p>
        </w:tc>
        <w:tc>
          <w:tcPr>
            <w:tcW w:w="2130" w:type="dxa"/>
          </w:tcPr>
          <w:p w:rsidR="004520FD" w:rsidRPr="004A76D7" w:rsidRDefault="004520FD" w:rsidP="000E7DFC">
            <w:pPr>
              <w:jc w:val="both"/>
              <w:rPr>
                <w:rFonts w:ascii="Rockwell" w:eastAsia="Rockwell" w:hAnsi="Rockwell" w:cs="Rockwell"/>
                <w:sz w:val="24"/>
                <w:szCs w:val="24"/>
              </w:rPr>
            </w:pPr>
            <w:r w:rsidRPr="004A76D7">
              <w:rPr>
                <w:rFonts w:ascii="Rockwell" w:hAnsi="Rockwell" w:cs="Rockwell"/>
                <w:bCs/>
                <w:sz w:val="24"/>
                <w:szCs w:val="24"/>
              </w:rPr>
              <w:t>Work Injury Benefits Act, 2007</w:t>
            </w:r>
          </w:p>
        </w:tc>
        <w:tc>
          <w:tcPr>
            <w:tcW w:w="2554" w:type="dxa"/>
          </w:tcPr>
          <w:p w:rsidR="004520FD" w:rsidRDefault="004520FD" w:rsidP="000E7DFC">
            <w:pPr>
              <w:jc w:val="both"/>
              <w:rPr>
                <w:rFonts w:ascii="Rockwell" w:hAnsi="Rockwell" w:cs="Rockwell"/>
                <w:bCs/>
                <w:sz w:val="24"/>
                <w:szCs w:val="24"/>
              </w:rPr>
            </w:pPr>
            <w:r w:rsidRPr="001A28F3">
              <w:rPr>
                <w:rFonts w:ascii="Rockwell" w:hAnsi="Rockwell" w:cs="Rockwell"/>
                <w:bCs/>
                <w:sz w:val="24"/>
                <w:szCs w:val="24"/>
                <w:highlight w:val="yellow"/>
              </w:rPr>
              <w:t>Section 7, 10 (1), 21, 45,</w:t>
            </w:r>
          </w:p>
          <w:p w:rsidR="00EF0C27" w:rsidRDefault="00EF0C27" w:rsidP="00EF0C27">
            <w:pPr>
              <w:jc w:val="both"/>
            </w:pPr>
            <w:r>
              <w:rPr>
                <w:rFonts w:ascii="Rockwell" w:hAnsi="Rockwell"/>
                <w:bCs/>
                <w:sz w:val="24"/>
                <w:szCs w:val="24"/>
                <w:highlight w:val="yellow"/>
              </w:rPr>
              <w:t>Section 7</w:t>
            </w:r>
            <w:r>
              <w:t xml:space="preserve"> Every employer shall obtain and maintain an insurance policy</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10 </w:t>
            </w:r>
            <w:r>
              <w:t xml:space="preserve">Right to compensation- An </w:t>
            </w:r>
            <w:r>
              <w:lastRenderedPageBreak/>
              <w:t>employee who is involved in an accident resulting in the employee’s disablement or death is subject to the provisions of this Act, and entitled to the benefits provided for under this Act</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21 </w:t>
            </w:r>
            <w:r>
              <w:t>Notice of accident by employee to employer</w:t>
            </w:r>
          </w:p>
          <w:p w:rsidR="00EF0C27" w:rsidRDefault="00EF0C27" w:rsidP="00EF0C27">
            <w:pPr>
              <w:jc w:val="both"/>
            </w:pPr>
            <w:r>
              <w:t xml:space="preserve"> </w:t>
            </w:r>
          </w:p>
          <w:p w:rsidR="00EF0C27" w:rsidRDefault="00EF0C27" w:rsidP="00EF0C27">
            <w:r>
              <w:rPr>
                <w:rFonts w:ascii="Rockwell" w:hAnsi="Rockwell"/>
                <w:bCs/>
                <w:sz w:val="24"/>
                <w:szCs w:val="24"/>
                <w:highlight w:val="yellow"/>
              </w:rPr>
              <w:t>45</w:t>
            </w:r>
            <w:r>
              <w:rPr>
                <w:rFonts w:ascii="Rockwell" w:hAnsi="Rockwell"/>
                <w:bCs/>
                <w:sz w:val="24"/>
                <w:szCs w:val="24"/>
              </w:rPr>
              <w:t xml:space="preserve"> </w:t>
            </w:r>
            <w:r>
              <w:t>First Aid an employer shall provide and maintain such appliances and services for the rendering of first aid to his employees in case of any accident</w:t>
            </w:r>
          </w:p>
          <w:p w:rsidR="00EF0C27" w:rsidRPr="004A76D7" w:rsidRDefault="00EF0C27" w:rsidP="000E7DFC">
            <w:pPr>
              <w:jc w:val="both"/>
              <w:rPr>
                <w:rFonts w:ascii="Rockwell" w:eastAsia="Rockwell" w:hAnsi="Rockwell" w:cs="Rockwell"/>
                <w:sz w:val="24"/>
                <w:szCs w:val="24"/>
              </w:rPr>
            </w:pPr>
          </w:p>
        </w:tc>
        <w:tc>
          <w:tcPr>
            <w:tcW w:w="2410" w:type="dxa"/>
            <w:shd w:val="clear" w:color="auto" w:fill="FFFF00"/>
          </w:tcPr>
          <w:p w:rsidR="004520FD" w:rsidRPr="004A76D7" w:rsidRDefault="004520FD" w:rsidP="000E7DFC">
            <w:pPr>
              <w:spacing w:after="180"/>
              <w:jc w:val="both"/>
              <w:rPr>
                <w:rFonts w:ascii="Rockwell" w:eastAsia="Rockwell" w:hAnsi="Rockwell" w:cs="Rockwell"/>
                <w:sz w:val="24"/>
                <w:szCs w:val="24"/>
              </w:rPr>
            </w:pPr>
          </w:p>
        </w:tc>
        <w:tc>
          <w:tcPr>
            <w:tcW w:w="1985" w:type="dxa"/>
          </w:tcPr>
          <w:p w:rsidR="004520FD" w:rsidRPr="004A76D7" w:rsidRDefault="004520FD" w:rsidP="000E7DFC">
            <w:pPr>
              <w:jc w:val="both"/>
              <w:rPr>
                <w:rFonts w:ascii="Rockwell" w:eastAsia="Rockwell" w:hAnsi="Rockwell" w:cs="Rockwell"/>
                <w:sz w:val="24"/>
                <w:szCs w:val="24"/>
              </w:rPr>
            </w:pPr>
            <w:r w:rsidRPr="004A76D7">
              <w:rPr>
                <w:rFonts w:ascii="Rockwell" w:hAnsi="Rockwell" w:cs="Rockwell"/>
                <w:bCs/>
                <w:sz w:val="24"/>
                <w:szCs w:val="24"/>
              </w:rPr>
              <w:t>DOSHS</w:t>
            </w:r>
            <w:r w:rsidR="001A28F3">
              <w:rPr>
                <w:rFonts w:ascii="Rockwell" w:hAnsi="Rockwell" w:cs="Rockwell"/>
                <w:bCs/>
                <w:sz w:val="24"/>
                <w:szCs w:val="24"/>
              </w:rPr>
              <w:t xml:space="preserve">, </w:t>
            </w:r>
            <w:r w:rsidR="001A28F3" w:rsidRPr="004A76D7">
              <w:rPr>
                <w:rFonts w:ascii="Rockwell" w:hAnsi="Rockwell" w:cs="Rockwell"/>
                <w:bCs/>
                <w:sz w:val="24"/>
                <w:szCs w:val="24"/>
              </w:rPr>
              <w:t xml:space="preserve">Employment and </w:t>
            </w:r>
            <w:proofErr w:type="spellStart"/>
            <w:r w:rsidR="001A28F3" w:rsidRPr="004A76D7">
              <w:rPr>
                <w:rFonts w:ascii="Rockwell" w:hAnsi="Rockwell" w:cs="Rockwell"/>
                <w:bCs/>
                <w:sz w:val="24"/>
                <w:szCs w:val="24"/>
              </w:rPr>
              <w:t>Labour</w:t>
            </w:r>
            <w:proofErr w:type="spellEnd"/>
            <w:r w:rsidR="001A28F3" w:rsidRPr="004A76D7">
              <w:rPr>
                <w:rFonts w:ascii="Rockwell" w:hAnsi="Rockwell" w:cs="Rockwell"/>
                <w:bCs/>
                <w:sz w:val="24"/>
                <w:szCs w:val="24"/>
              </w:rPr>
              <w:t xml:space="preserve"> relations Court</w:t>
            </w:r>
          </w:p>
        </w:tc>
      </w:tr>
      <w:tr w:rsidR="004520FD" w:rsidRPr="004A76D7" w:rsidTr="00EC7926">
        <w:trPr>
          <w:trHeight w:val="680"/>
        </w:trPr>
        <w:tc>
          <w:tcPr>
            <w:tcW w:w="705" w:type="dxa"/>
          </w:tcPr>
          <w:p w:rsidR="004520FD" w:rsidRPr="004A76D7" w:rsidRDefault="004520FD" w:rsidP="000E7DFC">
            <w:pPr>
              <w:jc w:val="both"/>
              <w:rPr>
                <w:rFonts w:ascii="Rockwell" w:eastAsia="Rockwell" w:hAnsi="Rockwell" w:cs="Rockwell"/>
                <w:sz w:val="24"/>
                <w:szCs w:val="24"/>
              </w:rPr>
            </w:pPr>
          </w:p>
        </w:tc>
        <w:tc>
          <w:tcPr>
            <w:tcW w:w="990" w:type="dxa"/>
          </w:tcPr>
          <w:p w:rsidR="004520FD" w:rsidRPr="004A76D7" w:rsidRDefault="004520FD" w:rsidP="000E7DFC">
            <w:pPr>
              <w:jc w:val="both"/>
              <w:rPr>
                <w:rFonts w:ascii="Rockwell" w:eastAsia="Rockwell" w:hAnsi="Rockwell" w:cs="Rockwell"/>
                <w:sz w:val="24"/>
                <w:szCs w:val="24"/>
              </w:rPr>
            </w:pPr>
          </w:p>
        </w:tc>
        <w:tc>
          <w:tcPr>
            <w:tcW w:w="2130" w:type="dxa"/>
          </w:tcPr>
          <w:p w:rsidR="004520FD" w:rsidRPr="004A76D7" w:rsidRDefault="004520FD" w:rsidP="000E7DFC">
            <w:pPr>
              <w:jc w:val="both"/>
              <w:rPr>
                <w:rFonts w:ascii="Rockwell" w:eastAsia="Rockwell" w:hAnsi="Rockwell" w:cs="Rockwell"/>
                <w:sz w:val="24"/>
                <w:szCs w:val="24"/>
              </w:rPr>
            </w:pPr>
            <w:r w:rsidRPr="004A76D7">
              <w:rPr>
                <w:rFonts w:ascii="Rockwell" w:hAnsi="Rockwell" w:cs="Rockwell"/>
                <w:bCs/>
                <w:sz w:val="24"/>
                <w:szCs w:val="24"/>
              </w:rPr>
              <w:t>Employment Act, 2007</w:t>
            </w:r>
          </w:p>
        </w:tc>
        <w:tc>
          <w:tcPr>
            <w:tcW w:w="2554" w:type="dxa"/>
          </w:tcPr>
          <w:p w:rsidR="004520FD" w:rsidRDefault="004520FD" w:rsidP="000E7DFC">
            <w:pPr>
              <w:jc w:val="both"/>
              <w:rPr>
                <w:rFonts w:ascii="Rockwell" w:hAnsi="Rockwell" w:cs="Rockwell"/>
                <w:bCs/>
                <w:sz w:val="24"/>
                <w:szCs w:val="24"/>
              </w:rPr>
            </w:pPr>
            <w:r w:rsidRPr="001A28F3">
              <w:rPr>
                <w:rFonts w:ascii="Rockwell" w:hAnsi="Rockwell" w:cs="Rockwell"/>
                <w:bCs/>
                <w:sz w:val="24"/>
                <w:szCs w:val="24"/>
                <w:highlight w:val="yellow"/>
              </w:rPr>
              <w:t>Section 4, 6, 17, 26, 27, 29, 30, 31, 32, 33, 34, 35</w:t>
            </w:r>
          </w:p>
          <w:p w:rsidR="00EF0C27" w:rsidRDefault="00EF0C27" w:rsidP="00EF0C27">
            <w:pPr>
              <w:jc w:val="both"/>
            </w:pPr>
            <w:r>
              <w:rPr>
                <w:rFonts w:ascii="Rockwell" w:hAnsi="Rockwell"/>
                <w:bCs/>
                <w:sz w:val="24"/>
                <w:szCs w:val="24"/>
                <w:highlight w:val="yellow"/>
              </w:rPr>
              <w:t xml:space="preserve">Section 4 </w:t>
            </w:r>
            <w:r>
              <w:t xml:space="preserve">Prohibition against forced </w:t>
            </w:r>
            <w:proofErr w:type="spellStart"/>
            <w:r>
              <w:t>labour</w:t>
            </w:r>
            <w:proofErr w:type="spellEnd"/>
            <w:r>
              <w:t xml:space="preserve"> </w:t>
            </w:r>
            <w:proofErr w:type="spellStart"/>
            <w:r>
              <w:t>o</w:t>
            </w:r>
            <w:proofErr w:type="spellEnd"/>
            <w:r>
              <w:t xml:space="preserve"> person shall use or assist any other person in recruiting, trafficking or using forced </w:t>
            </w:r>
            <w:proofErr w:type="spellStart"/>
            <w:r>
              <w:t>labour</w:t>
            </w:r>
            <w:proofErr w:type="spellEnd"/>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6 </w:t>
            </w:r>
            <w:r>
              <w:t>Sexual harassment</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17 </w:t>
            </w:r>
            <w:r>
              <w:t xml:space="preserve">Payment, disposal and recovery of wages, allowances, </w:t>
            </w:r>
            <w:proofErr w:type="spellStart"/>
            <w:r>
              <w:t>etc</w:t>
            </w:r>
            <w:proofErr w:type="spellEnd"/>
            <w:r>
              <w:t xml:space="preserve"> where an employer shall pay the entire amount of the wages earned by or payable to an employee in respect of work done by the employee in pursuance of a contract of service directly, in the currency of Kenya</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lastRenderedPageBreak/>
              <w:t xml:space="preserve">26 </w:t>
            </w:r>
            <w:r>
              <w:rPr>
                <w:rFonts w:ascii="Rockwell" w:hAnsi="Rockwell"/>
                <w:bCs/>
                <w:sz w:val="24"/>
                <w:szCs w:val="24"/>
              </w:rPr>
              <w:t>-</w:t>
            </w:r>
            <w:r>
              <w:t>Basic minimum conditions of employment</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27 </w:t>
            </w:r>
            <w:r>
              <w:t>Hours of work where an employer shall regulate the working hours of each employee in accordance with the provisions of this Act and any other written law</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29 </w:t>
            </w:r>
            <w:r>
              <w:t>Maternity leave- A female employee shall be entitled to three months maternity leave with full pay</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30 </w:t>
            </w:r>
            <w:r>
              <w:t>Sick leave- After two consecutive months of service with his employer, an employee shall be entitled to sick leave of not less than seven days with full pay and thereafter to sick leave of seven days with half pay</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31 </w:t>
            </w:r>
            <w:r>
              <w:t>Housing- an employer shall at all times, at his own expense, provide reasonable housing accommodation for each of his employees</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32 </w:t>
            </w:r>
            <w:r>
              <w:rPr>
                <w:rFonts w:ascii="Rockwell" w:hAnsi="Rockwell"/>
                <w:bCs/>
                <w:sz w:val="24"/>
                <w:szCs w:val="24"/>
              </w:rPr>
              <w:t xml:space="preserve">o </w:t>
            </w:r>
            <w:r>
              <w:t>Water an employer shall provide a sufficient supply of wholesome water for the use of his employees at the place of employment</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33 </w:t>
            </w:r>
            <w:r>
              <w:rPr>
                <w:rFonts w:ascii="Rockwell" w:hAnsi="Rockwell"/>
                <w:bCs/>
                <w:sz w:val="24"/>
                <w:szCs w:val="24"/>
              </w:rPr>
              <w:t xml:space="preserve">o </w:t>
            </w:r>
            <w:r>
              <w:t xml:space="preserve">Food where the provision of food has been expressly agreed </w:t>
            </w:r>
            <w:r>
              <w:lastRenderedPageBreak/>
              <w:t>to in or at the time of entering into a contract of service by the employer</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34 </w:t>
            </w:r>
            <w:r>
              <w:t>Medical attention - Subject to subsection (2), an employer shall ensure the provision sufficient and of proper medicine for his employees during illness and if possible, medical attendance during serious illness.</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rPr>
                <w:rFonts w:eastAsia="Times New Roman"/>
              </w:rPr>
            </w:pPr>
            <w:r>
              <w:rPr>
                <w:rFonts w:ascii="Rockwell" w:hAnsi="Rockwell"/>
                <w:bCs/>
                <w:sz w:val="24"/>
                <w:szCs w:val="24"/>
                <w:highlight w:val="yellow"/>
              </w:rPr>
              <w:t>35</w:t>
            </w:r>
            <w:r>
              <w:rPr>
                <w:rFonts w:ascii="Rockwell" w:hAnsi="Rockwell"/>
                <w:bCs/>
                <w:sz w:val="24"/>
                <w:szCs w:val="24"/>
              </w:rPr>
              <w:t xml:space="preserve">- </w:t>
            </w:r>
            <w:r>
              <w:t>Termination notice</w:t>
            </w:r>
          </w:p>
          <w:p w:rsidR="00EF0C27" w:rsidRPr="004A76D7" w:rsidRDefault="00EF0C27" w:rsidP="000E7DFC">
            <w:pPr>
              <w:jc w:val="both"/>
              <w:rPr>
                <w:rFonts w:ascii="Rockwell" w:eastAsia="Rockwell" w:hAnsi="Rockwell" w:cs="Rockwell"/>
                <w:sz w:val="24"/>
                <w:szCs w:val="24"/>
              </w:rPr>
            </w:pPr>
          </w:p>
        </w:tc>
        <w:tc>
          <w:tcPr>
            <w:tcW w:w="2410" w:type="dxa"/>
          </w:tcPr>
          <w:p w:rsidR="004520FD" w:rsidRPr="004A76D7" w:rsidRDefault="004520FD" w:rsidP="000E7DFC">
            <w:pPr>
              <w:spacing w:after="180"/>
              <w:jc w:val="both"/>
              <w:rPr>
                <w:rFonts w:ascii="Rockwell" w:eastAsia="Rockwell" w:hAnsi="Rockwell" w:cs="Rockwell"/>
                <w:sz w:val="24"/>
                <w:szCs w:val="24"/>
              </w:rPr>
            </w:pPr>
            <w:r w:rsidRPr="004A76D7">
              <w:rPr>
                <w:rFonts w:ascii="Rockwell" w:hAnsi="Rockwell" w:cs="Rockwell"/>
                <w:bCs/>
                <w:sz w:val="24"/>
                <w:szCs w:val="24"/>
              </w:rPr>
              <w:lastRenderedPageBreak/>
              <w:t>Employment general rules of 2014</w:t>
            </w:r>
          </w:p>
        </w:tc>
        <w:tc>
          <w:tcPr>
            <w:tcW w:w="1985" w:type="dxa"/>
          </w:tcPr>
          <w:p w:rsidR="004520FD" w:rsidRPr="004A76D7" w:rsidRDefault="004520FD" w:rsidP="000E7DFC">
            <w:pPr>
              <w:jc w:val="both"/>
              <w:rPr>
                <w:rFonts w:ascii="Rockwell" w:eastAsia="Rockwell" w:hAnsi="Rockwell" w:cs="Rockwell"/>
                <w:sz w:val="24"/>
                <w:szCs w:val="24"/>
              </w:rPr>
            </w:pPr>
            <w:r w:rsidRPr="004A76D7">
              <w:rPr>
                <w:rFonts w:ascii="Rockwell" w:hAnsi="Rockwell" w:cs="Rockwell"/>
                <w:bCs/>
                <w:sz w:val="24"/>
                <w:szCs w:val="24"/>
              </w:rPr>
              <w:t xml:space="preserve">Ministry of </w:t>
            </w:r>
            <w:proofErr w:type="spellStart"/>
            <w:r w:rsidRPr="004A76D7">
              <w:rPr>
                <w:rFonts w:ascii="Rockwell" w:hAnsi="Rockwell" w:cs="Rockwell"/>
                <w:bCs/>
                <w:sz w:val="24"/>
                <w:szCs w:val="24"/>
              </w:rPr>
              <w:t>Labour</w:t>
            </w:r>
            <w:proofErr w:type="spellEnd"/>
            <w:r w:rsidRPr="004A76D7">
              <w:rPr>
                <w:rFonts w:ascii="Rockwell" w:hAnsi="Rockwell" w:cs="Rockwell"/>
                <w:bCs/>
                <w:sz w:val="24"/>
                <w:szCs w:val="24"/>
              </w:rPr>
              <w:t xml:space="preserve"> and Social Protection, Employment and </w:t>
            </w:r>
            <w:proofErr w:type="spellStart"/>
            <w:r w:rsidRPr="004A76D7">
              <w:rPr>
                <w:rFonts w:ascii="Rockwell" w:hAnsi="Rockwell" w:cs="Rockwell"/>
                <w:bCs/>
                <w:sz w:val="24"/>
                <w:szCs w:val="24"/>
              </w:rPr>
              <w:t>Labour</w:t>
            </w:r>
            <w:proofErr w:type="spellEnd"/>
            <w:r w:rsidRPr="004A76D7">
              <w:rPr>
                <w:rFonts w:ascii="Rockwell" w:hAnsi="Rockwell" w:cs="Rockwell"/>
                <w:bCs/>
                <w:sz w:val="24"/>
                <w:szCs w:val="24"/>
              </w:rPr>
              <w:t xml:space="preserve"> relations Court</w:t>
            </w:r>
          </w:p>
        </w:tc>
      </w:tr>
      <w:tr w:rsidR="004520FD" w:rsidRPr="004A76D7" w:rsidTr="001A28F3">
        <w:trPr>
          <w:trHeight w:val="680"/>
        </w:trPr>
        <w:tc>
          <w:tcPr>
            <w:tcW w:w="705" w:type="dxa"/>
          </w:tcPr>
          <w:p w:rsidR="004520FD" w:rsidRPr="004A76D7" w:rsidRDefault="004520FD" w:rsidP="000E7DFC">
            <w:pPr>
              <w:jc w:val="both"/>
              <w:rPr>
                <w:rFonts w:ascii="Rockwell" w:eastAsia="Rockwell" w:hAnsi="Rockwell" w:cs="Rockwell"/>
                <w:sz w:val="24"/>
                <w:szCs w:val="24"/>
              </w:rPr>
            </w:pPr>
          </w:p>
        </w:tc>
        <w:tc>
          <w:tcPr>
            <w:tcW w:w="990" w:type="dxa"/>
          </w:tcPr>
          <w:p w:rsidR="004520FD" w:rsidRPr="004A76D7" w:rsidRDefault="004520FD" w:rsidP="000E7DFC">
            <w:pPr>
              <w:jc w:val="both"/>
              <w:rPr>
                <w:rFonts w:ascii="Rockwell" w:eastAsia="Rockwell" w:hAnsi="Rockwell" w:cs="Rockwell"/>
                <w:sz w:val="24"/>
                <w:szCs w:val="24"/>
              </w:rPr>
            </w:pPr>
          </w:p>
        </w:tc>
        <w:tc>
          <w:tcPr>
            <w:tcW w:w="2130" w:type="dxa"/>
          </w:tcPr>
          <w:p w:rsidR="004520FD" w:rsidRPr="004A76D7" w:rsidRDefault="004520FD" w:rsidP="000E7DFC">
            <w:pPr>
              <w:jc w:val="both"/>
              <w:rPr>
                <w:rFonts w:ascii="Rockwell" w:eastAsia="Rockwell" w:hAnsi="Rockwell" w:cs="Rockwell"/>
                <w:sz w:val="24"/>
                <w:szCs w:val="24"/>
              </w:rPr>
            </w:pPr>
            <w:r w:rsidRPr="004A76D7">
              <w:rPr>
                <w:rFonts w:ascii="Rockwell" w:hAnsi="Rockwell" w:cs="Rockwell"/>
                <w:bCs/>
                <w:sz w:val="24"/>
                <w:szCs w:val="24"/>
              </w:rPr>
              <w:t>Land Act, 2012</w:t>
            </w:r>
          </w:p>
        </w:tc>
        <w:tc>
          <w:tcPr>
            <w:tcW w:w="2554" w:type="dxa"/>
          </w:tcPr>
          <w:p w:rsidR="00EF0C27" w:rsidRDefault="00EF0C27" w:rsidP="00EF0C27">
            <w:pPr>
              <w:jc w:val="both"/>
            </w:pPr>
            <w:r>
              <w:rPr>
                <w:rFonts w:ascii="Rockwell" w:hAnsi="Rockwell"/>
                <w:bCs/>
                <w:sz w:val="24"/>
                <w:szCs w:val="24"/>
                <w:highlight w:val="yellow"/>
              </w:rPr>
              <w:t xml:space="preserve">Section 11 </w:t>
            </w:r>
            <w:r>
              <w:t>Conservation of ecologically sensitive public land where the Commission shall take appropriate action to maintain public land that has endangered or endemic species of flora and fauna, critical habitats or protected areas.</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rPr>
                <w:rFonts w:eastAsia="Times New Roman"/>
              </w:rPr>
            </w:pPr>
            <w:r>
              <w:rPr>
                <w:rFonts w:ascii="Rockwell" w:hAnsi="Rockwell"/>
                <w:bCs/>
                <w:sz w:val="24"/>
                <w:szCs w:val="24"/>
                <w:highlight w:val="yellow"/>
              </w:rPr>
              <w:t>19</w:t>
            </w:r>
            <w:r>
              <w:rPr>
                <w:rFonts w:ascii="Rockwell" w:hAnsi="Rockwell"/>
                <w:bCs/>
                <w:sz w:val="24"/>
                <w:szCs w:val="24"/>
              </w:rPr>
              <w:t xml:space="preserve"> </w:t>
            </w:r>
            <w:r>
              <w:t>Conservation of land based natural resources- the Commission shall make rules and regulations for the sustainable conservation of land based natural resources.</w:t>
            </w:r>
          </w:p>
          <w:p w:rsidR="00EF0C27" w:rsidRPr="004A76D7" w:rsidRDefault="00EF0C27" w:rsidP="000E7DFC">
            <w:pPr>
              <w:jc w:val="both"/>
              <w:rPr>
                <w:rFonts w:ascii="Rockwell" w:eastAsia="Rockwell" w:hAnsi="Rockwell" w:cs="Rockwell"/>
                <w:sz w:val="24"/>
                <w:szCs w:val="24"/>
              </w:rPr>
            </w:pPr>
          </w:p>
        </w:tc>
        <w:tc>
          <w:tcPr>
            <w:tcW w:w="2410" w:type="dxa"/>
            <w:shd w:val="clear" w:color="auto" w:fill="FFFF00"/>
          </w:tcPr>
          <w:p w:rsidR="004520FD" w:rsidRPr="001A28F3" w:rsidRDefault="004520FD" w:rsidP="000E7DFC">
            <w:pPr>
              <w:spacing w:after="180"/>
              <w:jc w:val="both"/>
              <w:rPr>
                <w:rFonts w:ascii="Rockwell" w:eastAsia="Rockwell" w:hAnsi="Rockwell" w:cs="Rockwell"/>
                <w:i/>
                <w:sz w:val="24"/>
                <w:szCs w:val="24"/>
                <w:highlight w:val="yellow"/>
              </w:rPr>
            </w:pPr>
          </w:p>
        </w:tc>
        <w:tc>
          <w:tcPr>
            <w:tcW w:w="1985" w:type="dxa"/>
          </w:tcPr>
          <w:p w:rsidR="004520FD" w:rsidRPr="004A76D7" w:rsidRDefault="004520FD" w:rsidP="000E7DFC">
            <w:pPr>
              <w:jc w:val="both"/>
              <w:rPr>
                <w:rFonts w:ascii="Rockwell" w:eastAsia="Rockwell" w:hAnsi="Rockwell" w:cs="Rockwell"/>
                <w:sz w:val="24"/>
                <w:szCs w:val="24"/>
              </w:rPr>
            </w:pPr>
            <w:r w:rsidRPr="004A76D7">
              <w:rPr>
                <w:rFonts w:ascii="Rockwell" w:hAnsi="Rockwell" w:cs="Rockwell"/>
                <w:bCs/>
                <w:sz w:val="24"/>
                <w:szCs w:val="24"/>
              </w:rPr>
              <w:t>NLC</w:t>
            </w:r>
          </w:p>
        </w:tc>
      </w:tr>
      <w:tr w:rsidR="004520FD" w:rsidRPr="004A76D7" w:rsidTr="001A28F3">
        <w:trPr>
          <w:trHeight w:val="680"/>
        </w:trPr>
        <w:tc>
          <w:tcPr>
            <w:tcW w:w="705" w:type="dxa"/>
          </w:tcPr>
          <w:p w:rsidR="004520FD" w:rsidRPr="004A76D7" w:rsidRDefault="004520FD" w:rsidP="000E7DFC">
            <w:pPr>
              <w:jc w:val="both"/>
              <w:rPr>
                <w:rFonts w:ascii="Rockwell" w:eastAsia="Rockwell" w:hAnsi="Rockwell" w:cs="Rockwell"/>
                <w:sz w:val="24"/>
                <w:szCs w:val="24"/>
              </w:rPr>
            </w:pPr>
          </w:p>
        </w:tc>
        <w:tc>
          <w:tcPr>
            <w:tcW w:w="990" w:type="dxa"/>
          </w:tcPr>
          <w:p w:rsidR="004520FD" w:rsidRPr="004A76D7" w:rsidRDefault="004520FD" w:rsidP="000E7DFC">
            <w:pPr>
              <w:jc w:val="both"/>
              <w:rPr>
                <w:rFonts w:ascii="Rockwell" w:eastAsia="Rockwell" w:hAnsi="Rockwell" w:cs="Rockwell"/>
                <w:sz w:val="24"/>
                <w:szCs w:val="24"/>
              </w:rPr>
            </w:pPr>
          </w:p>
        </w:tc>
        <w:tc>
          <w:tcPr>
            <w:tcW w:w="2130" w:type="dxa"/>
          </w:tcPr>
          <w:p w:rsidR="004520FD" w:rsidRPr="004A76D7" w:rsidRDefault="004520FD" w:rsidP="000E7DFC">
            <w:pPr>
              <w:jc w:val="both"/>
              <w:rPr>
                <w:rFonts w:ascii="Rockwell" w:eastAsia="Rockwell" w:hAnsi="Rockwell" w:cs="Rockwell"/>
                <w:sz w:val="24"/>
                <w:szCs w:val="24"/>
              </w:rPr>
            </w:pPr>
            <w:r w:rsidRPr="004A76D7">
              <w:rPr>
                <w:rFonts w:ascii="Rockwell" w:hAnsi="Rockwell" w:cs="Rockwell"/>
                <w:bCs/>
                <w:sz w:val="24"/>
                <w:szCs w:val="24"/>
              </w:rPr>
              <w:t>Environment and Land Court Act, No. 19 of 2011</w:t>
            </w:r>
          </w:p>
        </w:tc>
        <w:tc>
          <w:tcPr>
            <w:tcW w:w="2554" w:type="dxa"/>
          </w:tcPr>
          <w:p w:rsidR="00EF0C27" w:rsidRDefault="00EF0C27" w:rsidP="00EF0C27">
            <w:pPr>
              <w:jc w:val="both"/>
            </w:pPr>
            <w:r>
              <w:rPr>
                <w:rFonts w:ascii="Rockwell" w:hAnsi="Rockwell"/>
                <w:bCs/>
                <w:sz w:val="24"/>
                <w:szCs w:val="24"/>
                <w:highlight w:val="yellow"/>
              </w:rPr>
              <w:t xml:space="preserve">Section 4 </w:t>
            </w:r>
            <w:r>
              <w:t>Establishment of the Court</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13 </w:t>
            </w:r>
            <w:r>
              <w:t xml:space="preserve">Jurisdiction of the Court –the court shall have original and </w:t>
            </w:r>
            <w:r>
              <w:lastRenderedPageBreak/>
              <w:t>appellate jurisdiction to hear and determine all disputes in accordance with Article 162(2</w:t>
            </w:r>
            <w:proofErr w:type="gramStart"/>
            <w:r>
              <w:t>)(</w:t>
            </w:r>
            <w:proofErr w:type="gramEnd"/>
            <w:r>
              <w:t>b) of the Constitution and with the provisions of this Act or any other law applicable in Kenya relating to environment and land.</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14 </w:t>
            </w:r>
            <w:r>
              <w:t>Enforcement of Court Orders where a judgment, award, order or decree of the Court shall be enforceable in accordance with the Civil Procedure Rules.</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Pr="004A76D7" w:rsidRDefault="00EF0C27" w:rsidP="00EF0C27">
            <w:pPr>
              <w:rPr>
                <w:rFonts w:ascii="Rockwell" w:eastAsia="Rockwell" w:hAnsi="Rockwell" w:cs="Rockwell"/>
                <w:sz w:val="24"/>
                <w:szCs w:val="24"/>
              </w:rPr>
            </w:pPr>
            <w:r>
              <w:rPr>
                <w:rFonts w:ascii="Rockwell" w:hAnsi="Rockwell"/>
                <w:bCs/>
                <w:sz w:val="24"/>
                <w:szCs w:val="24"/>
                <w:highlight w:val="yellow"/>
              </w:rPr>
              <w:t>16</w:t>
            </w:r>
            <w:r>
              <w:rPr>
                <w:rFonts w:ascii="Rockwell" w:hAnsi="Rockwell"/>
                <w:bCs/>
                <w:sz w:val="24"/>
                <w:szCs w:val="24"/>
              </w:rPr>
              <w:t xml:space="preserve"> states that </w:t>
            </w:r>
            <w:r>
              <w:t>appeals from the Court shall lie to the Court of Appeal against any judgment, award, order or decree issued by the Court in accordance with Article 164(3) of the Constitution.</w:t>
            </w:r>
          </w:p>
        </w:tc>
        <w:tc>
          <w:tcPr>
            <w:tcW w:w="2410" w:type="dxa"/>
            <w:shd w:val="clear" w:color="auto" w:fill="FFFF00"/>
          </w:tcPr>
          <w:p w:rsidR="004520FD" w:rsidRPr="001A28F3" w:rsidRDefault="004520FD" w:rsidP="000E7DFC">
            <w:pPr>
              <w:spacing w:after="180"/>
              <w:jc w:val="both"/>
              <w:rPr>
                <w:rFonts w:ascii="Rockwell" w:eastAsia="Rockwell" w:hAnsi="Rockwell" w:cs="Rockwell"/>
                <w:sz w:val="24"/>
                <w:szCs w:val="24"/>
                <w:highlight w:val="yellow"/>
              </w:rPr>
            </w:pPr>
          </w:p>
        </w:tc>
        <w:tc>
          <w:tcPr>
            <w:tcW w:w="1985" w:type="dxa"/>
          </w:tcPr>
          <w:p w:rsidR="004520FD" w:rsidRPr="004A76D7" w:rsidRDefault="004520FD" w:rsidP="000E7DFC">
            <w:pPr>
              <w:jc w:val="both"/>
              <w:rPr>
                <w:rFonts w:ascii="Rockwell" w:eastAsia="Rockwell" w:hAnsi="Rockwell" w:cs="Rockwell"/>
                <w:sz w:val="24"/>
                <w:szCs w:val="24"/>
              </w:rPr>
            </w:pPr>
            <w:r w:rsidRPr="004A76D7">
              <w:rPr>
                <w:rFonts w:ascii="Rockwell" w:hAnsi="Rockwell" w:cs="Rockwell"/>
                <w:bCs/>
                <w:sz w:val="24"/>
                <w:szCs w:val="24"/>
              </w:rPr>
              <w:t>ELC</w:t>
            </w:r>
            <w:r w:rsidR="003C2141" w:rsidRPr="004A76D7">
              <w:rPr>
                <w:rFonts w:ascii="Rockwell" w:hAnsi="Rockwell" w:cs="Rockwell"/>
                <w:bCs/>
                <w:sz w:val="24"/>
                <w:szCs w:val="24"/>
              </w:rPr>
              <w:t>, JSC, relevant MCDAs</w:t>
            </w:r>
          </w:p>
        </w:tc>
      </w:tr>
      <w:tr w:rsidR="004520FD" w:rsidRPr="004A76D7" w:rsidTr="00EC7926">
        <w:trPr>
          <w:trHeight w:val="680"/>
        </w:trPr>
        <w:tc>
          <w:tcPr>
            <w:tcW w:w="705" w:type="dxa"/>
          </w:tcPr>
          <w:p w:rsidR="004520FD" w:rsidRPr="004A76D7" w:rsidRDefault="004520FD" w:rsidP="000E7DFC">
            <w:pPr>
              <w:jc w:val="both"/>
              <w:rPr>
                <w:rFonts w:ascii="Rockwell" w:eastAsia="Rockwell" w:hAnsi="Rockwell" w:cs="Rockwell"/>
                <w:sz w:val="24"/>
                <w:szCs w:val="24"/>
              </w:rPr>
            </w:pPr>
          </w:p>
        </w:tc>
        <w:tc>
          <w:tcPr>
            <w:tcW w:w="990" w:type="dxa"/>
          </w:tcPr>
          <w:p w:rsidR="004520FD" w:rsidRPr="004A76D7" w:rsidRDefault="004520FD" w:rsidP="000E7DFC">
            <w:pPr>
              <w:jc w:val="both"/>
              <w:rPr>
                <w:rFonts w:ascii="Rockwell" w:eastAsia="Rockwell" w:hAnsi="Rockwell" w:cs="Rockwell"/>
                <w:sz w:val="24"/>
                <w:szCs w:val="24"/>
              </w:rPr>
            </w:pPr>
          </w:p>
        </w:tc>
        <w:tc>
          <w:tcPr>
            <w:tcW w:w="2130" w:type="dxa"/>
          </w:tcPr>
          <w:p w:rsidR="004520FD" w:rsidRPr="004A76D7" w:rsidRDefault="004520FD" w:rsidP="000E7DFC">
            <w:pPr>
              <w:jc w:val="both"/>
              <w:rPr>
                <w:rFonts w:ascii="Rockwell" w:eastAsia="Rockwell" w:hAnsi="Rockwell" w:cs="Rockwell"/>
                <w:sz w:val="24"/>
                <w:szCs w:val="24"/>
              </w:rPr>
            </w:pPr>
            <w:r w:rsidRPr="004A76D7">
              <w:rPr>
                <w:rFonts w:ascii="Rockwell" w:hAnsi="Rockwell" w:cs="Rockwell"/>
                <w:bCs/>
                <w:sz w:val="24"/>
                <w:szCs w:val="24"/>
              </w:rPr>
              <w:t xml:space="preserve">Community Land </w:t>
            </w:r>
            <w:r w:rsidRPr="004A76D7">
              <w:rPr>
                <w:rFonts w:ascii="Rockwell" w:hAnsi="Rockwell" w:cs="Rockwell"/>
                <w:bCs/>
                <w:sz w:val="24"/>
                <w:szCs w:val="24"/>
                <w:shd w:val="clear" w:color="auto" w:fill="FFFF00"/>
              </w:rPr>
              <w:t>Act</w:t>
            </w:r>
          </w:p>
        </w:tc>
        <w:tc>
          <w:tcPr>
            <w:tcW w:w="2554" w:type="dxa"/>
          </w:tcPr>
          <w:p w:rsidR="00EF0C27" w:rsidRDefault="00EF0C27" w:rsidP="00EF0C27">
            <w:pPr>
              <w:jc w:val="both"/>
            </w:pPr>
            <w:r>
              <w:rPr>
                <w:rFonts w:ascii="Rockwell" w:hAnsi="Rockwell"/>
                <w:bCs/>
                <w:sz w:val="24"/>
                <w:szCs w:val="24"/>
                <w:highlight w:val="yellow"/>
              </w:rPr>
              <w:t xml:space="preserve">Section 5 </w:t>
            </w:r>
            <w:r>
              <w:t>Eligibility for Election as a member of a Community Land Management Committee</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6 </w:t>
            </w:r>
            <w:r>
              <w:t>Vacancy in office of member of Community Land Management Committee</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8 </w:t>
            </w:r>
            <w:r>
              <w:t>Registration of communities</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27 </w:t>
            </w:r>
            <w:r>
              <w:t xml:space="preserve">Community awareness </w:t>
            </w:r>
            <w:proofErr w:type="spellStart"/>
            <w:r>
              <w:t>programmes</w:t>
            </w:r>
            <w:proofErr w:type="spellEnd"/>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34 </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lastRenderedPageBreak/>
              <w:t>35</w:t>
            </w:r>
          </w:p>
          <w:p w:rsidR="00EF0C27" w:rsidRDefault="00EF0C27" w:rsidP="00EF0C27">
            <w:pPr>
              <w:rPr>
                <w:rFonts w:eastAsia="Times New Roman"/>
              </w:rPr>
            </w:pPr>
            <w:r>
              <w:rPr>
                <w:rFonts w:ascii="Rockwell" w:hAnsi="Rockwell"/>
                <w:bCs/>
                <w:sz w:val="24"/>
                <w:szCs w:val="24"/>
                <w:highlight w:val="yellow"/>
              </w:rPr>
              <w:t>36</w:t>
            </w:r>
          </w:p>
          <w:p w:rsidR="00EF0C27" w:rsidRPr="004A76D7" w:rsidRDefault="00EF0C27" w:rsidP="000E7DFC">
            <w:pPr>
              <w:jc w:val="both"/>
              <w:rPr>
                <w:rFonts w:ascii="Rockwell" w:eastAsia="Rockwell" w:hAnsi="Rockwell" w:cs="Rockwell"/>
                <w:sz w:val="24"/>
                <w:szCs w:val="24"/>
              </w:rPr>
            </w:pPr>
          </w:p>
        </w:tc>
        <w:tc>
          <w:tcPr>
            <w:tcW w:w="2410" w:type="dxa"/>
          </w:tcPr>
          <w:p w:rsidR="004520FD" w:rsidRPr="004A76D7" w:rsidRDefault="004520FD" w:rsidP="000E7DFC">
            <w:pPr>
              <w:spacing w:after="180"/>
              <w:jc w:val="both"/>
              <w:rPr>
                <w:rFonts w:ascii="Rockwell" w:eastAsia="Rockwell" w:hAnsi="Rockwell" w:cs="Rockwell"/>
                <w:sz w:val="24"/>
                <w:szCs w:val="24"/>
              </w:rPr>
            </w:pPr>
            <w:r w:rsidRPr="004A76D7">
              <w:rPr>
                <w:rFonts w:ascii="Rockwell" w:hAnsi="Rockwell" w:cs="Rockwell"/>
                <w:bCs/>
                <w:sz w:val="24"/>
                <w:szCs w:val="24"/>
              </w:rPr>
              <w:lastRenderedPageBreak/>
              <w:t>Community land Regulations, 2017</w:t>
            </w:r>
          </w:p>
        </w:tc>
        <w:tc>
          <w:tcPr>
            <w:tcW w:w="1985" w:type="dxa"/>
          </w:tcPr>
          <w:p w:rsidR="004520FD" w:rsidRPr="004A76D7" w:rsidRDefault="004520FD" w:rsidP="000E7DFC">
            <w:pPr>
              <w:jc w:val="both"/>
              <w:rPr>
                <w:rFonts w:ascii="Rockwell" w:eastAsia="Rockwell" w:hAnsi="Rockwell" w:cs="Rockwell"/>
                <w:sz w:val="24"/>
                <w:szCs w:val="24"/>
              </w:rPr>
            </w:pPr>
            <w:r w:rsidRPr="004A76D7">
              <w:rPr>
                <w:rFonts w:ascii="Rockwell" w:hAnsi="Rockwell" w:cs="Rockwell"/>
                <w:bCs/>
                <w:sz w:val="24"/>
                <w:szCs w:val="24"/>
              </w:rPr>
              <w:t>Ministry of Lands and Physical Planning, NLC, County Government, ELC</w:t>
            </w:r>
          </w:p>
        </w:tc>
      </w:tr>
      <w:tr w:rsidR="004520FD" w:rsidRPr="004A76D7" w:rsidTr="00EC7926">
        <w:trPr>
          <w:trHeight w:val="680"/>
        </w:trPr>
        <w:tc>
          <w:tcPr>
            <w:tcW w:w="705" w:type="dxa"/>
          </w:tcPr>
          <w:p w:rsidR="004520FD" w:rsidRPr="004A76D7" w:rsidRDefault="004520FD" w:rsidP="000E7DFC">
            <w:pPr>
              <w:jc w:val="both"/>
              <w:rPr>
                <w:rFonts w:ascii="Rockwell" w:eastAsia="Rockwell" w:hAnsi="Rockwell" w:cs="Rockwell"/>
                <w:sz w:val="24"/>
                <w:szCs w:val="24"/>
              </w:rPr>
            </w:pPr>
          </w:p>
        </w:tc>
        <w:tc>
          <w:tcPr>
            <w:tcW w:w="990" w:type="dxa"/>
          </w:tcPr>
          <w:p w:rsidR="004520FD" w:rsidRPr="004A76D7" w:rsidRDefault="004520FD" w:rsidP="000E7DFC">
            <w:pPr>
              <w:jc w:val="both"/>
              <w:rPr>
                <w:rFonts w:ascii="Rockwell" w:eastAsia="Rockwell" w:hAnsi="Rockwell" w:cs="Rockwell"/>
                <w:sz w:val="24"/>
                <w:szCs w:val="24"/>
              </w:rPr>
            </w:pPr>
          </w:p>
        </w:tc>
        <w:tc>
          <w:tcPr>
            <w:tcW w:w="2130" w:type="dxa"/>
          </w:tcPr>
          <w:p w:rsidR="004520FD" w:rsidRPr="004A76D7" w:rsidRDefault="004520FD" w:rsidP="000E7DFC">
            <w:pPr>
              <w:jc w:val="both"/>
              <w:rPr>
                <w:rFonts w:ascii="Rockwell" w:hAnsi="Rockwell" w:cs="Rockwell"/>
                <w:bCs/>
                <w:sz w:val="24"/>
                <w:szCs w:val="24"/>
              </w:rPr>
            </w:pPr>
            <w:r w:rsidRPr="004A76D7">
              <w:rPr>
                <w:rFonts w:ascii="Rockwell" w:hAnsi="Rockwell" w:cs="Rockwell"/>
                <w:bCs/>
                <w:sz w:val="24"/>
                <w:szCs w:val="24"/>
              </w:rPr>
              <w:t>Physical and Land Use Planning Act No. 3 of 2019</w:t>
            </w:r>
          </w:p>
          <w:p w:rsidR="004520FD" w:rsidRPr="004A76D7" w:rsidRDefault="004520FD" w:rsidP="000E7DFC">
            <w:pPr>
              <w:jc w:val="both"/>
              <w:rPr>
                <w:rFonts w:ascii="Rockwell" w:hAnsi="Rockwell" w:cs="Rockwell"/>
                <w:bCs/>
                <w:sz w:val="24"/>
                <w:szCs w:val="24"/>
              </w:rPr>
            </w:pPr>
          </w:p>
        </w:tc>
        <w:tc>
          <w:tcPr>
            <w:tcW w:w="2554" w:type="dxa"/>
          </w:tcPr>
          <w:p w:rsidR="00EF0C27" w:rsidRDefault="00EF0C27" w:rsidP="00EF0C27">
            <w:pPr>
              <w:jc w:val="both"/>
            </w:pPr>
            <w:r>
              <w:rPr>
                <w:rFonts w:ascii="Rockwell" w:hAnsi="Rockwell"/>
                <w:bCs/>
                <w:sz w:val="24"/>
                <w:szCs w:val="24"/>
                <w:highlight w:val="yellow"/>
              </w:rPr>
              <w:t xml:space="preserve">Section 14 </w:t>
            </w:r>
            <w:r>
              <w:t>County Physical and Land Use Planning Consultative Forum</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rPr>
                <w:rFonts w:eastAsia="Times New Roman"/>
              </w:rPr>
            </w:pPr>
            <w:r>
              <w:rPr>
                <w:rFonts w:ascii="Rockwell" w:hAnsi="Rockwell"/>
                <w:bCs/>
                <w:sz w:val="24"/>
                <w:szCs w:val="24"/>
                <w:highlight w:val="yellow"/>
              </w:rPr>
              <w:t>18</w:t>
            </w:r>
            <w:r>
              <w:rPr>
                <w:rFonts w:ascii="Rockwell" w:hAnsi="Rockwell"/>
                <w:bCs/>
                <w:sz w:val="24"/>
                <w:szCs w:val="24"/>
              </w:rPr>
              <w:t xml:space="preserve"> </w:t>
            </w:r>
            <w:r>
              <w:t>County Director of Physical and Land Use Planning</w:t>
            </w:r>
          </w:p>
          <w:p w:rsidR="00EF0C27" w:rsidRDefault="00EF0C27" w:rsidP="000E7DFC">
            <w:pPr>
              <w:jc w:val="both"/>
              <w:rPr>
                <w:rFonts w:ascii="Rockwell" w:hAnsi="Rockwell" w:cs="Rockwell"/>
                <w:bCs/>
                <w:sz w:val="24"/>
                <w:szCs w:val="24"/>
              </w:rPr>
            </w:pPr>
          </w:p>
          <w:p w:rsidR="00EF0C27" w:rsidRPr="004A76D7" w:rsidRDefault="00EF0C27" w:rsidP="000E7DFC">
            <w:pPr>
              <w:jc w:val="both"/>
              <w:rPr>
                <w:rFonts w:ascii="Rockwell" w:hAnsi="Rockwell" w:cs="Rockwell"/>
                <w:bCs/>
                <w:sz w:val="24"/>
                <w:szCs w:val="24"/>
              </w:rPr>
            </w:pPr>
          </w:p>
        </w:tc>
        <w:tc>
          <w:tcPr>
            <w:tcW w:w="2410" w:type="dxa"/>
          </w:tcPr>
          <w:p w:rsidR="004520FD" w:rsidRPr="004A76D7" w:rsidRDefault="004520FD" w:rsidP="000E7DFC">
            <w:pPr>
              <w:jc w:val="both"/>
              <w:rPr>
                <w:rFonts w:ascii="Rockwell" w:hAnsi="Rockwell" w:cs="Rockwell"/>
                <w:bCs/>
                <w:sz w:val="24"/>
                <w:szCs w:val="24"/>
              </w:rPr>
            </w:pPr>
            <w:r w:rsidRPr="004A76D7">
              <w:rPr>
                <w:rFonts w:ascii="Rockwell" w:hAnsi="Rockwell" w:cs="Rockwell"/>
                <w:bCs/>
                <w:sz w:val="24"/>
                <w:szCs w:val="24"/>
              </w:rPr>
              <w:t>Physical and Land Use Planning (Development permission and control) (general) Regulations 2021</w:t>
            </w:r>
          </w:p>
          <w:p w:rsidR="004520FD" w:rsidRPr="004A76D7" w:rsidRDefault="004520FD" w:rsidP="000E7DFC">
            <w:pPr>
              <w:spacing w:after="180"/>
              <w:jc w:val="both"/>
              <w:rPr>
                <w:rFonts w:ascii="Rockwell" w:hAnsi="Rockwell" w:cs="Rockwell"/>
                <w:bCs/>
                <w:sz w:val="24"/>
                <w:szCs w:val="24"/>
              </w:rPr>
            </w:pPr>
          </w:p>
        </w:tc>
        <w:tc>
          <w:tcPr>
            <w:tcW w:w="1985" w:type="dxa"/>
          </w:tcPr>
          <w:p w:rsidR="004520FD" w:rsidRPr="004A76D7" w:rsidRDefault="004520FD" w:rsidP="000E7DFC">
            <w:pPr>
              <w:jc w:val="both"/>
              <w:rPr>
                <w:rFonts w:ascii="Rockwell" w:hAnsi="Rockwell" w:cs="Rockwell"/>
                <w:bCs/>
                <w:sz w:val="24"/>
                <w:szCs w:val="24"/>
              </w:rPr>
            </w:pPr>
            <w:r w:rsidRPr="004A76D7">
              <w:rPr>
                <w:rFonts w:ascii="Rockwell" w:hAnsi="Rockwell" w:cs="Rockwell"/>
                <w:bCs/>
                <w:sz w:val="24"/>
                <w:szCs w:val="24"/>
              </w:rPr>
              <w:t>County physical and land use planning consultative forum</w:t>
            </w:r>
          </w:p>
        </w:tc>
      </w:tr>
      <w:tr w:rsidR="004520FD" w:rsidRPr="004A76D7" w:rsidTr="00EC7926">
        <w:trPr>
          <w:trHeight w:val="680"/>
        </w:trPr>
        <w:tc>
          <w:tcPr>
            <w:tcW w:w="705" w:type="dxa"/>
          </w:tcPr>
          <w:p w:rsidR="004520FD" w:rsidRPr="004A76D7" w:rsidRDefault="004520FD" w:rsidP="000E7DFC">
            <w:pPr>
              <w:jc w:val="both"/>
              <w:rPr>
                <w:rFonts w:ascii="Rockwell" w:eastAsia="Rockwell" w:hAnsi="Rockwell" w:cs="Rockwell"/>
                <w:sz w:val="24"/>
                <w:szCs w:val="24"/>
              </w:rPr>
            </w:pPr>
          </w:p>
        </w:tc>
        <w:tc>
          <w:tcPr>
            <w:tcW w:w="990" w:type="dxa"/>
          </w:tcPr>
          <w:p w:rsidR="004520FD" w:rsidRPr="004A76D7" w:rsidRDefault="004520FD" w:rsidP="000E7DFC">
            <w:pPr>
              <w:jc w:val="both"/>
              <w:rPr>
                <w:rFonts w:ascii="Rockwell" w:eastAsia="Rockwell" w:hAnsi="Rockwell" w:cs="Rockwell"/>
                <w:sz w:val="24"/>
                <w:szCs w:val="24"/>
              </w:rPr>
            </w:pPr>
          </w:p>
        </w:tc>
        <w:tc>
          <w:tcPr>
            <w:tcW w:w="2130" w:type="dxa"/>
          </w:tcPr>
          <w:p w:rsidR="004520FD" w:rsidRPr="004A76D7" w:rsidRDefault="004520FD" w:rsidP="000E7DFC">
            <w:pPr>
              <w:jc w:val="both"/>
              <w:rPr>
                <w:rFonts w:ascii="Rockwell" w:hAnsi="Rockwell" w:cs="Rockwell"/>
                <w:bCs/>
                <w:sz w:val="24"/>
                <w:szCs w:val="24"/>
              </w:rPr>
            </w:pPr>
            <w:r w:rsidRPr="004A76D7">
              <w:rPr>
                <w:rFonts w:ascii="Rockwell" w:hAnsi="Rockwell" w:cs="Rockwell"/>
                <w:sz w:val="24"/>
                <w:szCs w:val="24"/>
              </w:rPr>
              <w:t>National Land Commission Act, 2012</w:t>
            </w:r>
          </w:p>
        </w:tc>
        <w:tc>
          <w:tcPr>
            <w:tcW w:w="2554" w:type="dxa"/>
          </w:tcPr>
          <w:p w:rsidR="00EF0C27" w:rsidRDefault="00EF0C27" w:rsidP="00EF0C27">
            <w:pPr>
              <w:jc w:val="both"/>
            </w:pPr>
            <w:r>
              <w:rPr>
                <w:rFonts w:ascii="Rockwell" w:hAnsi="Rockwell"/>
                <w:bCs/>
                <w:sz w:val="24"/>
                <w:szCs w:val="24"/>
                <w:highlight w:val="yellow"/>
              </w:rPr>
              <w:t xml:space="preserve">Section 5 </w:t>
            </w:r>
            <w:r>
              <w:t>Functions of the Commission</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rPr>
                <w:rFonts w:eastAsia="Times New Roman"/>
              </w:rPr>
            </w:pPr>
            <w:r>
              <w:rPr>
                <w:rFonts w:ascii="Rockwell" w:hAnsi="Rockwell"/>
                <w:bCs/>
                <w:sz w:val="24"/>
                <w:szCs w:val="24"/>
                <w:highlight w:val="yellow"/>
              </w:rPr>
              <w:t>6</w:t>
            </w:r>
            <w:r>
              <w:rPr>
                <w:rFonts w:ascii="Rockwell" w:hAnsi="Rockwell"/>
                <w:bCs/>
                <w:sz w:val="24"/>
                <w:szCs w:val="24"/>
              </w:rPr>
              <w:t xml:space="preserve"> </w:t>
            </w:r>
            <w:r>
              <w:t>Powers of the Commission</w:t>
            </w:r>
          </w:p>
          <w:p w:rsidR="00EF0C27" w:rsidRPr="004A76D7" w:rsidRDefault="00EF0C27" w:rsidP="000E7DFC">
            <w:pPr>
              <w:jc w:val="both"/>
              <w:rPr>
                <w:rFonts w:ascii="Rockwell" w:hAnsi="Rockwell" w:cs="Rockwell"/>
                <w:bCs/>
                <w:sz w:val="24"/>
                <w:szCs w:val="24"/>
              </w:rPr>
            </w:pPr>
          </w:p>
        </w:tc>
        <w:tc>
          <w:tcPr>
            <w:tcW w:w="2410" w:type="dxa"/>
          </w:tcPr>
          <w:p w:rsidR="004520FD" w:rsidRPr="004A76D7" w:rsidRDefault="004520FD" w:rsidP="000E7DFC">
            <w:pPr>
              <w:jc w:val="both"/>
              <w:rPr>
                <w:rFonts w:ascii="Rockwell" w:hAnsi="Rockwell" w:cs="Rockwell"/>
                <w:bCs/>
                <w:sz w:val="24"/>
                <w:szCs w:val="24"/>
              </w:rPr>
            </w:pPr>
            <w:r w:rsidRPr="004A76D7">
              <w:rPr>
                <w:rFonts w:ascii="Rockwell" w:hAnsi="Rockwell" w:cs="Rockwell"/>
                <w:bCs/>
                <w:sz w:val="24"/>
                <w:szCs w:val="24"/>
              </w:rPr>
              <w:t>National Land Commission (Review of Grants and Dispositions of Public Land) Regulations, 2017</w:t>
            </w:r>
          </w:p>
        </w:tc>
        <w:tc>
          <w:tcPr>
            <w:tcW w:w="1985" w:type="dxa"/>
          </w:tcPr>
          <w:p w:rsidR="004520FD" w:rsidRPr="004A76D7" w:rsidRDefault="004520FD" w:rsidP="000E7DFC">
            <w:pPr>
              <w:jc w:val="both"/>
              <w:rPr>
                <w:rFonts w:ascii="Rockwell" w:hAnsi="Rockwell" w:cs="Rockwell"/>
                <w:bCs/>
                <w:sz w:val="24"/>
                <w:szCs w:val="24"/>
              </w:rPr>
            </w:pPr>
            <w:r w:rsidRPr="004A76D7">
              <w:rPr>
                <w:rFonts w:ascii="Rockwell" w:hAnsi="Rockwell" w:cs="Rockwell"/>
                <w:bCs/>
                <w:sz w:val="24"/>
                <w:szCs w:val="24"/>
              </w:rPr>
              <w:t>NLC</w:t>
            </w:r>
          </w:p>
        </w:tc>
      </w:tr>
      <w:tr w:rsidR="004520FD" w:rsidRPr="004A76D7" w:rsidTr="00EC7926">
        <w:trPr>
          <w:trHeight w:val="680"/>
        </w:trPr>
        <w:tc>
          <w:tcPr>
            <w:tcW w:w="705" w:type="dxa"/>
          </w:tcPr>
          <w:p w:rsidR="004520FD" w:rsidRPr="004A76D7" w:rsidRDefault="004520FD" w:rsidP="000E7DFC">
            <w:pPr>
              <w:jc w:val="both"/>
              <w:rPr>
                <w:rFonts w:ascii="Rockwell" w:eastAsia="Rockwell" w:hAnsi="Rockwell" w:cs="Rockwell"/>
                <w:sz w:val="24"/>
                <w:szCs w:val="24"/>
              </w:rPr>
            </w:pPr>
          </w:p>
        </w:tc>
        <w:tc>
          <w:tcPr>
            <w:tcW w:w="990" w:type="dxa"/>
          </w:tcPr>
          <w:p w:rsidR="004520FD" w:rsidRPr="004A76D7" w:rsidRDefault="004520FD" w:rsidP="000E7DFC">
            <w:pPr>
              <w:jc w:val="both"/>
              <w:rPr>
                <w:rFonts w:ascii="Rockwell" w:eastAsia="Rockwell" w:hAnsi="Rockwell" w:cs="Rockwell"/>
                <w:sz w:val="24"/>
                <w:szCs w:val="24"/>
              </w:rPr>
            </w:pPr>
          </w:p>
        </w:tc>
        <w:tc>
          <w:tcPr>
            <w:tcW w:w="2130" w:type="dxa"/>
          </w:tcPr>
          <w:p w:rsidR="004520FD" w:rsidRPr="004A76D7" w:rsidRDefault="004520FD" w:rsidP="000E7DFC">
            <w:pPr>
              <w:jc w:val="both"/>
              <w:rPr>
                <w:rFonts w:ascii="Rockwell" w:hAnsi="Rockwell" w:cs="Rockwell"/>
                <w:sz w:val="24"/>
                <w:szCs w:val="24"/>
              </w:rPr>
            </w:pPr>
            <w:r w:rsidRPr="004A76D7">
              <w:rPr>
                <w:rFonts w:ascii="Rockwell" w:hAnsi="Rockwell" w:cs="Rockwell"/>
                <w:sz w:val="24"/>
                <w:szCs w:val="24"/>
              </w:rPr>
              <w:t>County Government Act, 2012</w:t>
            </w:r>
          </w:p>
        </w:tc>
        <w:tc>
          <w:tcPr>
            <w:tcW w:w="2554" w:type="dxa"/>
          </w:tcPr>
          <w:p w:rsidR="00EF0C27" w:rsidRDefault="00EF0C27" w:rsidP="00EF0C27">
            <w:pPr>
              <w:jc w:val="both"/>
            </w:pPr>
            <w:r>
              <w:rPr>
                <w:rFonts w:ascii="Rockwell" w:hAnsi="Rockwell"/>
                <w:bCs/>
                <w:sz w:val="24"/>
                <w:szCs w:val="24"/>
                <w:highlight w:val="yellow"/>
              </w:rPr>
              <w:t xml:space="preserve">Section 102 </w:t>
            </w:r>
            <w:r>
              <w:t>Principles of planning and development facilitation</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103 </w:t>
            </w:r>
            <w:r>
              <w:t>Objectives of county planning</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104 </w:t>
            </w:r>
            <w:r>
              <w:t>Obligation to plan by the county</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105 </w:t>
            </w:r>
            <w:r>
              <w:t>Planning in the county</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jc w:val="both"/>
              <w:rPr>
                <w:rFonts w:eastAsia="Times New Roman"/>
              </w:rPr>
            </w:pPr>
            <w:r>
              <w:rPr>
                <w:rFonts w:ascii="Rockwell" w:hAnsi="Rockwell"/>
                <w:bCs/>
                <w:sz w:val="24"/>
                <w:szCs w:val="24"/>
                <w:highlight w:val="yellow"/>
              </w:rPr>
              <w:t xml:space="preserve">109 </w:t>
            </w:r>
            <w:r>
              <w:t xml:space="preserve">County </w:t>
            </w:r>
            <w:proofErr w:type="spellStart"/>
            <w:r>
              <w:t>sectoral</w:t>
            </w:r>
            <w:proofErr w:type="spellEnd"/>
            <w:r>
              <w:t xml:space="preserve"> plans</w:t>
            </w:r>
          </w:p>
          <w:p w:rsidR="00EF0C27" w:rsidRDefault="00EF0C27" w:rsidP="00EF0C27">
            <w:pPr>
              <w:jc w:val="both"/>
              <w:rPr>
                <w:rFonts w:ascii="Rockwell" w:hAnsi="Rockwell"/>
                <w:bCs/>
                <w:sz w:val="24"/>
                <w:szCs w:val="24"/>
                <w:highlight w:val="yellow"/>
              </w:rPr>
            </w:pPr>
            <w:r>
              <w:rPr>
                <w:rFonts w:ascii="Rockwell" w:hAnsi="Rockwell"/>
                <w:bCs/>
                <w:sz w:val="24"/>
                <w:szCs w:val="24"/>
                <w:highlight w:val="yellow"/>
              </w:rPr>
              <w:t xml:space="preserve"> </w:t>
            </w:r>
          </w:p>
          <w:p w:rsidR="00EF0C27" w:rsidRDefault="00EF0C27" w:rsidP="00EF0C27">
            <w:pPr>
              <w:rPr>
                <w:rFonts w:eastAsia="Times New Roman"/>
              </w:rPr>
            </w:pPr>
            <w:r>
              <w:rPr>
                <w:rFonts w:ascii="Rockwell" w:hAnsi="Rockwell"/>
                <w:bCs/>
                <w:sz w:val="24"/>
                <w:szCs w:val="24"/>
                <w:highlight w:val="yellow"/>
              </w:rPr>
              <w:t>110</w:t>
            </w:r>
            <w:r>
              <w:rPr>
                <w:rFonts w:ascii="Rockwell" w:hAnsi="Rockwell"/>
                <w:bCs/>
                <w:sz w:val="24"/>
                <w:szCs w:val="24"/>
              </w:rPr>
              <w:t xml:space="preserve"> </w:t>
            </w:r>
            <w:r>
              <w:t>County spatial plans</w:t>
            </w:r>
          </w:p>
          <w:p w:rsidR="00EF0C27" w:rsidRPr="004A76D7" w:rsidRDefault="00EF0C27" w:rsidP="000E7DFC">
            <w:pPr>
              <w:jc w:val="both"/>
              <w:rPr>
                <w:rFonts w:ascii="Rockwell" w:hAnsi="Rockwell" w:cs="Rockwell"/>
                <w:bCs/>
                <w:sz w:val="24"/>
                <w:szCs w:val="24"/>
              </w:rPr>
            </w:pPr>
          </w:p>
        </w:tc>
        <w:tc>
          <w:tcPr>
            <w:tcW w:w="2410" w:type="dxa"/>
            <w:shd w:val="clear" w:color="auto" w:fill="FFFF00"/>
          </w:tcPr>
          <w:p w:rsidR="004520FD" w:rsidRPr="004A76D7" w:rsidRDefault="004520FD" w:rsidP="000E7DFC">
            <w:pPr>
              <w:jc w:val="both"/>
              <w:rPr>
                <w:rFonts w:ascii="Rockwell" w:hAnsi="Rockwell" w:cs="Rockwell"/>
                <w:bCs/>
                <w:sz w:val="24"/>
                <w:szCs w:val="24"/>
              </w:rPr>
            </w:pPr>
          </w:p>
        </w:tc>
        <w:tc>
          <w:tcPr>
            <w:tcW w:w="1985" w:type="dxa"/>
          </w:tcPr>
          <w:p w:rsidR="004520FD" w:rsidRPr="004A76D7" w:rsidRDefault="004520FD" w:rsidP="000E7DFC">
            <w:pPr>
              <w:jc w:val="both"/>
              <w:rPr>
                <w:rFonts w:ascii="Rockwell" w:hAnsi="Rockwell" w:cs="Rockwell"/>
                <w:bCs/>
                <w:sz w:val="24"/>
                <w:szCs w:val="24"/>
              </w:rPr>
            </w:pPr>
            <w:r w:rsidRPr="004A76D7">
              <w:rPr>
                <w:rFonts w:ascii="Rockwell" w:hAnsi="Rockwell" w:cs="Rockwell"/>
                <w:bCs/>
                <w:sz w:val="24"/>
                <w:szCs w:val="24"/>
              </w:rPr>
              <w:t>County Government</w:t>
            </w:r>
            <w:r w:rsidR="003C2141" w:rsidRPr="004A76D7">
              <w:rPr>
                <w:rFonts w:ascii="Rockwell" w:hAnsi="Rockwell" w:cs="Rockwell"/>
                <w:bCs/>
                <w:sz w:val="24"/>
                <w:szCs w:val="24"/>
              </w:rPr>
              <w:t xml:space="preserve">, </w:t>
            </w:r>
            <w:proofErr w:type="spellStart"/>
            <w:r w:rsidR="003C2141" w:rsidRPr="004A76D7">
              <w:rPr>
                <w:rFonts w:ascii="Rockwell" w:hAnsi="Rockwell" w:cs="Rockwell"/>
                <w:bCs/>
                <w:sz w:val="24"/>
                <w:szCs w:val="24"/>
              </w:rPr>
              <w:t>CoG</w:t>
            </w:r>
            <w:proofErr w:type="spellEnd"/>
            <w:r w:rsidR="003C2141" w:rsidRPr="004A76D7">
              <w:rPr>
                <w:rFonts w:ascii="Rockwell" w:hAnsi="Rockwell" w:cs="Rockwell"/>
                <w:bCs/>
                <w:sz w:val="24"/>
                <w:szCs w:val="24"/>
              </w:rPr>
              <w:t>, relevant MCDAs</w:t>
            </w:r>
          </w:p>
        </w:tc>
      </w:tr>
      <w:tr w:rsidR="001A28F3" w:rsidRPr="004A76D7" w:rsidTr="001A28F3">
        <w:trPr>
          <w:trHeight w:val="680"/>
        </w:trPr>
        <w:tc>
          <w:tcPr>
            <w:tcW w:w="705" w:type="dxa"/>
          </w:tcPr>
          <w:p w:rsidR="001A28F3" w:rsidRPr="004A76D7" w:rsidRDefault="001A28F3" w:rsidP="000E7DFC">
            <w:pPr>
              <w:jc w:val="both"/>
              <w:rPr>
                <w:rFonts w:ascii="Rockwell" w:eastAsia="Rockwell" w:hAnsi="Rockwell" w:cs="Rockwell"/>
                <w:sz w:val="24"/>
                <w:szCs w:val="24"/>
              </w:rPr>
            </w:pPr>
          </w:p>
        </w:tc>
        <w:tc>
          <w:tcPr>
            <w:tcW w:w="990" w:type="dxa"/>
          </w:tcPr>
          <w:p w:rsidR="001A28F3" w:rsidRPr="004A76D7" w:rsidRDefault="001A28F3" w:rsidP="000E7DFC">
            <w:pPr>
              <w:jc w:val="both"/>
              <w:rPr>
                <w:rFonts w:ascii="Rockwell" w:eastAsia="Rockwell" w:hAnsi="Rockwell" w:cs="Rockwell"/>
                <w:sz w:val="24"/>
                <w:szCs w:val="24"/>
              </w:rPr>
            </w:pPr>
          </w:p>
        </w:tc>
        <w:tc>
          <w:tcPr>
            <w:tcW w:w="2130" w:type="dxa"/>
          </w:tcPr>
          <w:p w:rsidR="001A28F3" w:rsidRPr="004A76D7" w:rsidRDefault="001A28F3" w:rsidP="000E7DFC">
            <w:pPr>
              <w:jc w:val="both"/>
              <w:rPr>
                <w:rFonts w:ascii="Rockwell" w:hAnsi="Rockwell" w:cs="Rockwell"/>
                <w:sz w:val="24"/>
                <w:szCs w:val="24"/>
              </w:rPr>
            </w:pPr>
            <w:r>
              <w:rPr>
                <w:rFonts w:ascii="Rockwell" w:hAnsi="Rockwell" w:cs="Rockwell"/>
                <w:sz w:val="24"/>
                <w:szCs w:val="24"/>
              </w:rPr>
              <w:t>Kenya Investment Promotion Act</w:t>
            </w:r>
            <w:r w:rsidR="00A05CE4">
              <w:rPr>
                <w:rFonts w:ascii="Rockwell" w:hAnsi="Rockwell" w:cs="Rockwell"/>
                <w:sz w:val="24"/>
                <w:szCs w:val="24"/>
              </w:rPr>
              <w:t>, 2004</w:t>
            </w:r>
          </w:p>
        </w:tc>
        <w:tc>
          <w:tcPr>
            <w:tcW w:w="2554" w:type="dxa"/>
            <w:shd w:val="clear" w:color="auto" w:fill="FFFF00"/>
          </w:tcPr>
          <w:p w:rsidR="00EF0C27" w:rsidRDefault="00EF0C27" w:rsidP="00EF0C27">
            <w:pPr>
              <w:jc w:val="both"/>
            </w:pPr>
            <w:r>
              <w:rPr>
                <w:rFonts w:ascii="Rockwell" w:hAnsi="Rockwell"/>
                <w:bCs/>
                <w:sz w:val="24"/>
                <w:szCs w:val="24"/>
                <w:highlight w:val="yellow"/>
              </w:rPr>
              <w:t>Sectio</w:t>
            </w:r>
            <w:r>
              <w:rPr>
                <w:rFonts w:ascii="Rockwell" w:hAnsi="Rockwell"/>
                <w:sz w:val="24"/>
                <w:szCs w:val="24"/>
              </w:rPr>
              <w:t xml:space="preserve">n 12 </w:t>
            </w:r>
            <w:r>
              <w:t xml:space="preserve">Entitlement to certain </w:t>
            </w:r>
            <w:proofErr w:type="spellStart"/>
            <w:r>
              <w:t>licences</w:t>
            </w:r>
            <w:proofErr w:type="spellEnd"/>
            <w:r>
              <w:t>.</w:t>
            </w:r>
          </w:p>
          <w:p w:rsidR="00EF0C27" w:rsidRDefault="00EF0C27" w:rsidP="00EF0C27">
            <w:pPr>
              <w:jc w:val="both"/>
            </w:pPr>
            <w:r>
              <w:t xml:space="preserve"> </w:t>
            </w:r>
          </w:p>
          <w:p w:rsidR="00EF0C27" w:rsidRDefault="00EF0C27" w:rsidP="00EF0C27">
            <w:pPr>
              <w:jc w:val="both"/>
            </w:pPr>
            <w:r>
              <w:t>16 Board of Authority.</w:t>
            </w:r>
          </w:p>
          <w:p w:rsidR="00EF0C27" w:rsidRDefault="00EF0C27" w:rsidP="00EF0C27">
            <w:pPr>
              <w:jc w:val="both"/>
            </w:pPr>
            <w:r>
              <w:t xml:space="preserve"> </w:t>
            </w:r>
          </w:p>
          <w:p w:rsidR="00EF0C27" w:rsidRDefault="00EF0C27" w:rsidP="00EF0C27">
            <w:r>
              <w:t>26 Council established.</w:t>
            </w:r>
          </w:p>
          <w:p w:rsidR="001A28F3" w:rsidRPr="001A28F3" w:rsidRDefault="001A28F3" w:rsidP="000E7DFC">
            <w:pPr>
              <w:jc w:val="both"/>
              <w:rPr>
                <w:rFonts w:ascii="Rockwell" w:hAnsi="Rockwell" w:cs="Rockwell"/>
                <w:bCs/>
                <w:sz w:val="24"/>
                <w:szCs w:val="24"/>
                <w:highlight w:val="yellow"/>
              </w:rPr>
            </w:pPr>
          </w:p>
        </w:tc>
        <w:tc>
          <w:tcPr>
            <w:tcW w:w="2410" w:type="dxa"/>
            <w:shd w:val="clear" w:color="auto" w:fill="FFFF00"/>
          </w:tcPr>
          <w:p w:rsidR="001A28F3" w:rsidRPr="004A76D7" w:rsidRDefault="001A28F3" w:rsidP="000E7DFC">
            <w:pPr>
              <w:jc w:val="both"/>
              <w:rPr>
                <w:rFonts w:ascii="Rockwell" w:hAnsi="Rockwell" w:cs="Rockwell"/>
                <w:bCs/>
                <w:sz w:val="24"/>
                <w:szCs w:val="24"/>
              </w:rPr>
            </w:pPr>
          </w:p>
        </w:tc>
        <w:tc>
          <w:tcPr>
            <w:tcW w:w="1985" w:type="dxa"/>
            <w:shd w:val="clear" w:color="auto" w:fill="FFFF00"/>
          </w:tcPr>
          <w:p w:rsidR="001A28F3" w:rsidRPr="004A76D7" w:rsidRDefault="001A28F3" w:rsidP="000E7DFC">
            <w:pPr>
              <w:jc w:val="both"/>
              <w:rPr>
                <w:rFonts w:ascii="Rockwell" w:hAnsi="Rockwell" w:cs="Rockwell"/>
                <w:bCs/>
                <w:sz w:val="24"/>
                <w:szCs w:val="24"/>
              </w:rPr>
            </w:pPr>
          </w:p>
        </w:tc>
      </w:tr>
    </w:tbl>
    <w:p w:rsidR="004520FD" w:rsidRPr="004A76D7" w:rsidRDefault="004520FD" w:rsidP="000E7DFC">
      <w:pPr>
        <w:jc w:val="both"/>
        <w:rPr>
          <w:rFonts w:ascii="Rockwell" w:hAnsi="Rockwell"/>
          <w:sz w:val="24"/>
          <w:szCs w:val="24"/>
        </w:rPr>
      </w:pPr>
    </w:p>
    <w:p w:rsidR="004520FD" w:rsidRPr="004A76D7" w:rsidRDefault="00C11825" w:rsidP="000E7DFC">
      <w:pPr>
        <w:pStyle w:val="Heading1"/>
        <w:jc w:val="both"/>
        <w:rPr>
          <w:rFonts w:ascii="Rockwell" w:eastAsia="Rockwell" w:hAnsi="Rockwell" w:cs="Rockwell"/>
          <w:b/>
          <w:sz w:val="24"/>
          <w:szCs w:val="24"/>
        </w:rPr>
      </w:pPr>
      <w:bookmarkStart w:id="14" w:name="_Toc209047101"/>
      <w:r w:rsidRPr="004A76D7">
        <w:rPr>
          <w:rFonts w:ascii="Rockwell" w:eastAsia="Rockwell" w:hAnsi="Rockwell" w:cs="Rockwell"/>
          <w:b/>
          <w:sz w:val="24"/>
          <w:szCs w:val="24"/>
        </w:rPr>
        <w:lastRenderedPageBreak/>
        <w:t>2.2</w:t>
      </w:r>
      <w:r w:rsidR="00DD2703" w:rsidRPr="004A76D7">
        <w:rPr>
          <w:rFonts w:ascii="Rockwell" w:eastAsia="Rockwell" w:hAnsi="Rockwell" w:cs="Rockwell"/>
          <w:b/>
          <w:sz w:val="24"/>
          <w:szCs w:val="24"/>
        </w:rPr>
        <w:t xml:space="preserve"> </w:t>
      </w:r>
      <w:r w:rsidR="004520FD" w:rsidRPr="004A76D7">
        <w:rPr>
          <w:rFonts w:ascii="Rockwell" w:eastAsia="Rockwell" w:hAnsi="Rockwell" w:cs="Rockwell"/>
          <w:b/>
          <w:sz w:val="24"/>
          <w:szCs w:val="24"/>
        </w:rPr>
        <w:t>Global Best Practices</w:t>
      </w:r>
      <w:bookmarkEnd w:id="14"/>
      <w:r w:rsidR="004520FD" w:rsidRPr="004A76D7">
        <w:rPr>
          <w:rFonts w:ascii="Rockwell" w:eastAsia="Rockwell" w:hAnsi="Rockwell" w:cs="Rockwell"/>
          <w:b/>
          <w:sz w:val="24"/>
          <w:szCs w:val="24"/>
        </w:rPr>
        <w:t xml:space="preserve"> </w:t>
      </w:r>
    </w:p>
    <w:p w:rsidR="004520FD" w:rsidRPr="004A76D7" w:rsidRDefault="004520FD" w:rsidP="000E7DFC">
      <w:pPr>
        <w:spacing w:after="240"/>
        <w:jc w:val="both"/>
        <w:rPr>
          <w:rFonts w:ascii="Rockwell" w:eastAsia="Rockwell" w:hAnsi="Rockwell" w:cs="Rockwell"/>
          <w:color w:val="010302"/>
          <w:sz w:val="24"/>
          <w:szCs w:val="24"/>
        </w:rPr>
      </w:pPr>
      <w:r w:rsidRPr="004A76D7">
        <w:rPr>
          <w:rFonts w:ascii="Rockwell" w:eastAsia="Rockwell" w:hAnsi="Rockwell" w:cs="Rockwell"/>
          <w:color w:val="010302"/>
          <w:sz w:val="24"/>
          <w:szCs w:val="24"/>
        </w:rPr>
        <w:t>In recent years, governments in different countries have adopted strict policies, laws and regulations requiring mining companies to provide for environmental financial assurance to guarantee costs of reclaiming lands affected by mining. Closure processes are also guided, to ensure all issues of rehabilitation are addressed.</w:t>
      </w:r>
    </w:p>
    <w:p w:rsidR="004520FD" w:rsidRPr="004A76D7" w:rsidRDefault="004520FD" w:rsidP="000E7DFC">
      <w:pPr>
        <w:spacing w:after="180"/>
        <w:ind w:left="20"/>
        <w:jc w:val="both"/>
        <w:rPr>
          <w:rFonts w:ascii="Rockwell" w:eastAsia="Rockwell" w:hAnsi="Rockwell" w:cs="Rockwell"/>
          <w:color w:val="010302"/>
          <w:sz w:val="24"/>
          <w:szCs w:val="24"/>
        </w:rPr>
      </w:pPr>
      <w:r w:rsidRPr="004A76D7">
        <w:rPr>
          <w:rFonts w:ascii="Rockwell" w:eastAsia="Rockwell" w:hAnsi="Rockwell" w:cs="Rockwell"/>
          <w:color w:val="010302"/>
          <w:sz w:val="24"/>
          <w:szCs w:val="24"/>
        </w:rPr>
        <w:t xml:space="preserve">A well-established closure planning process ensures that investment, development and operating decisions made today fully </w:t>
      </w:r>
      <w:r w:rsidR="00DD2703" w:rsidRPr="004A76D7">
        <w:rPr>
          <w:rFonts w:ascii="Rockwell" w:eastAsia="Rockwell" w:hAnsi="Rockwell" w:cs="Rockwell"/>
          <w:color w:val="010302"/>
          <w:sz w:val="24"/>
          <w:szCs w:val="24"/>
        </w:rPr>
        <w:t>recognize</w:t>
      </w:r>
      <w:r w:rsidRPr="004A76D7">
        <w:rPr>
          <w:rFonts w:ascii="Rockwell" w:eastAsia="Rockwell" w:hAnsi="Rockwell" w:cs="Rockwell"/>
          <w:color w:val="010302"/>
          <w:sz w:val="24"/>
          <w:szCs w:val="24"/>
        </w:rPr>
        <w:t xml:space="preserve"> the potential financial impacts for closure in the future. Closure cost estimates are needed for various internal and external purposes.</w:t>
      </w:r>
    </w:p>
    <w:p w:rsidR="004520FD" w:rsidRPr="004A76D7" w:rsidRDefault="000A1621" w:rsidP="000E7DFC">
      <w:pPr>
        <w:spacing w:after="240"/>
        <w:jc w:val="both"/>
        <w:rPr>
          <w:rFonts w:ascii="Rockwell" w:eastAsia="Rockwell" w:hAnsi="Rockwell" w:cs="Rockwell"/>
          <w:color w:val="010302"/>
          <w:sz w:val="24"/>
          <w:szCs w:val="24"/>
        </w:rPr>
      </w:pPr>
      <w:r w:rsidRPr="004A76D7">
        <w:rPr>
          <w:rFonts w:ascii="Rockwell" w:eastAsia="Rockwell" w:hAnsi="Rockwell" w:cs="Rockwell"/>
          <w:color w:val="010302"/>
          <w:sz w:val="24"/>
          <w:szCs w:val="24"/>
        </w:rPr>
        <w:t xml:space="preserve">Jurisdictions have </w:t>
      </w:r>
      <w:r w:rsidR="004520FD" w:rsidRPr="004A76D7">
        <w:rPr>
          <w:rFonts w:ascii="Rockwell" w:eastAsia="Rockwell" w:hAnsi="Rockwell" w:cs="Rockwell"/>
          <w:color w:val="010302"/>
          <w:sz w:val="24"/>
          <w:szCs w:val="24"/>
        </w:rPr>
        <w:t>develop</w:t>
      </w:r>
      <w:r w:rsidRPr="004A76D7">
        <w:rPr>
          <w:rFonts w:ascii="Rockwell" w:eastAsia="Rockwell" w:hAnsi="Rockwell" w:cs="Rockwell"/>
          <w:color w:val="010302"/>
          <w:sz w:val="24"/>
          <w:szCs w:val="24"/>
        </w:rPr>
        <w:t>ed</w:t>
      </w:r>
      <w:r w:rsidR="004520FD" w:rsidRPr="004A76D7">
        <w:rPr>
          <w:rFonts w:ascii="Rockwell" w:eastAsia="Rockwell" w:hAnsi="Rockwell" w:cs="Rockwell"/>
          <w:color w:val="010302"/>
          <w:sz w:val="24"/>
          <w:szCs w:val="24"/>
        </w:rPr>
        <w:t xml:space="preserve"> </w:t>
      </w:r>
      <w:r w:rsidRPr="004A76D7">
        <w:rPr>
          <w:rFonts w:ascii="Rockwell" w:eastAsia="Rockwell" w:hAnsi="Rockwell" w:cs="Rockwell"/>
          <w:color w:val="010302"/>
          <w:sz w:val="24"/>
          <w:szCs w:val="24"/>
        </w:rPr>
        <w:t xml:space="preserve">guidance on </w:t>
      </w:r>
      <w:r w:rsidR="004520FD" w:rsidRPr="004A76D7">
        <w:rPr>
          <w:rFonts w:ascii="Rockwell" w:eastAsia="Rockwell" w:hAnsi="Rockwell" w:cs="Rockwell"/>
          <w:color w:val="010302"/>
          <w:sz w:val="24"/>
          <w:szCs w:val="24"/>
        </w:rPr>
        <w:t xml:space="preserve">closure cost estimate to be used for asset valuation, business planning and budgeting for </w:t>
      </w:r>
      <w:proofErr w:type="spellStart"/>
      <w:r w:rsidR="004520FD" w:rsidRPr="004A76D7">
        <w:rPr>
          <w:rFonts w:ascii="Rockwell" w:eastAsia="Rockwell" w:hAnsi="Rockwell" w:cs="Rockwell"/>
          <w:color w:val="010302"/>
          <w:sz w:val="24"/>
          <w:szCs w:val="24"/>
        </w:rPr>
        <w:t>LoM</w:t>
      </w:r>
      <w:proofErr w:type="spellEnd"/>
      <w:r w:rsidR="004520FD" w:rsidRPr="004A76D7">
        <w:rPr>
          <w:rFonts w:ascii="Rockwell" w:eastAsia="Rockwell" w:hAnsi="Rockwell" w:cs="Rockwell"/>
          <w:color w:val="010302"/>
          <w:sz w:val="24"/>
          <w:szCs w:val="24"/>
        </w:rPr>
        <w:t xml:space="preserve"> (or asset) plann</w:t>
      </w:r>
      <w:r w:rsidRPr="004A76D7">
        <w:rPr>
          <w:rFonts w:ascii="Rockwell" w:eastAsia="Rockwell" w:hAnsi="Rockwell" w:cs="Rockwell"/>
          <w:color w:val="010302"/>
          <w:sz w:val="24"/>
          <w:szCs w:val="24"/>
        </w:rPr>
        <w:t>ing. It represents a best</w:t>
      </w:r>
      <w:r w:rsidR="004520FD" w:rsidRPr="004A76D7">
        <w:rPr>
          <w:rFonts w:ascii="Rockwell" w:eastAsia="Rockwell" w:hAnsi="Rockwell" w:cs="Rockwell"/>
          <w:color w:val="010302"/>
          <w:sz w:val="24"/>
          <w:szCs w:val="24"/>
        </w:rPr>
        <w:t xml:space="preserve"> estimation of the remediation of the ‘at end of mine’ disturbance footprint and the decommissioning of the mine infrastructure. This final footprint is often much larger than what is expected due to continued development of the mine during its life; however, it can often be significantly reduced during operations through a well-managed progressive remediation program. As the mine moves nearer to closure, significant technical and environmental knowledge and detail are needed to ensure that all significant closure risks (and costs) are highlighted and addressed, and that appropriate decisions are made for the mine closure plan to be implemented effectively. The case studies provided herewith illustrate the best cases in the subject matter.</w:t>
      </w:r>
    </w:p>
    <w:p w:rsidR="00710334" w:rsidRDefault="00710334" w:rsidP="000E7DFC">
      <w:pPr>
        <w:spacing w:after="180"/>
        <w:jc w:val="both"/>
        <w:rPr>
          <w:rFonts w:ascii="Rockwell" w:eastAsia="Rockwell" w:hAnsi="Rockwell" w:cs="Rockwell"/>
          <w:b/>
          <w:color w:val="010302"/>
          <w:sz w:val="24"/>
          <w:szCs w:val="24"/>
        </w:rPr>
      </w:pPr>
      <w:r>
        <w:rPr>
          <w:rFonts w:ascii="Rockwell" w:eastAsia="Rockwell" w:hAnsi="Rockwell" w:cs="Rockwell"/>
          <w:b/>
          <w:color w:val="010302"/>
          <w:sz w:val="24"/>
          <w:szCs w:val="24"/>
        </w:rPr>
        <w:t xml:space="preserve">2.2.1 </w:t>
      </w:r>
      <w:r w:rsidR="004520FD" w:rsidRPr="004A76D7">
        <w:rPr>
          <w:rFonts w:ascii="Rockwell" w:eastAsia="Rockwell" w:hAnsi="Rockwell" w:cs="Rockwell"/>
          <w:b/>
          <w:color w:val="010302"/>
          <w:sz w:val="24"/>
          <w:szCs w:val="24"/>
        </w:rPr>
        <w:t xml:space="preserve">Australia, </w:t>
      </w:r>
    </w:p>
    <w:p w:rsidR="004520FD" w:rsidRPr="004A76D7" w:rsidRDefault="004520FD" w:rsidP="000E7DFC">
      <w:pPr>
        <w:spacing w:after="180"/>
        <w:jc w:val="both"/>
        <w:rPr>
          <w:rFonts w:ascii="Rockwell" w:eastAsia="Rockwell" w:hAnsi="Rockwell" w:cs="Rockwell"/>
          <w:color w:val="010302"/>
          <w:sz w:val="24"/>
          <w:szCs w:val="24"/>
        </w:rPr>
      </w:pPr>
      <w:proofErr w:type="gramStart"/>
      <w:r w:rsidRPr="004A76D7">
        <w:rPr>
          <w:rFonts w:ascii="Rockwell" w:eastAsia="Rockwell" w:hAnsi="Rockwell" w:cs="Rockwell"/>
          <w:color w:val="010302"/>
          <w:sz w:val="24"/>
          <w:szCs w:val="24"/>
        </w:rPr>
        <w:t>the</w:t>
      </w:r>
      <w:proofErr w:type="gramEnd"/>
      <w:r w:rsidRPr="004A76D7">
        <w:rPr>
          <w:rFonts w:ascii="Rockwell" w:eastAsia="Rockwell" w:hAnsi="Rockwell" w:cs="Rockwell"/>
          <w:color w:val="010302"/>
          <w:sz w:val="24"/>
          <w:szCs w:val="24"/>
        </w:rPr>
        <w:t xml:space="preserve"> Australian Earth Resources Regulation provides operational policies and procedures for the establishment and management of rehabilitation bonds and the methods to be used in assessing rehabilitation liability for mining and extractive operations. Earth Resources Regulation is responsible for setting and reviewing rehabilitation bonds for mining and extractive industries in Victoria as required by the Mineral Resources (Sustainable Development) Act 1990.</w:t>
      </w:r>
    </w:p>
    <w:p w:rsidR="004520FD" w:rsidRPr="004A76D7" w:rsidRDefault="004520FD" w:rsidP="000E7DFC">
      <w:pPr>
        <w:shd w:val="clear" w:color="auto" w:fill="FFFFFF"/>
        <w:spacing w:before="240" w:after="240"/>
        <w:jc w:val="both"/>
        <w:rPr>
          <w:rFonts w:ascii="Rockwell" w:eastAsia="Rockwell" w:hAnsi="Rockwell" w:cs="Rockwell"/>
          <w:color w:val="010302"/>
          <w:sz w:val="24"/>
          <w:szCs w:val="24"/>
        </w:rPr>
      </w:pPr>
      <w:r w:rsidRPr="004A76D7">
        <w:rPr>
          <w:rFonts w:ascii="Rockwell" w:eastAsia="Rockwell" w:hAnsi="Rockwell" w:cs="Rockwell"/>
          <w:color w:val="010302"/>
          <w:sz w:val="24"/>
          <w:szCs w:val="24"/>
        </w:rPr>
        <w:t xml:space="preserve">The Act requires the holder of an exploration, prospecting, retention, mining </w:t>
      </w:r>
      <w:r w:rsidR="00DD2703" w:rsidRPr="004A76D7">
        <w:rPr>
          <w:rFonts w:ascii="Rockwell" w:eastAsia="Rockwell" w:hAnsi="Rockwell" w:cs="Rockwell"/>
          <w:color w:val="010302"/>
          <w:sz w:val="24"/>
          <w:szCs w:val="24"/>
        </w:rPr>
        <w:t>license</w:t>
      </w:r>
      <w:r w:rsidRPr="004A76D7">
        <w:rPr>
          <w:rFonts w:ascii="Rockwell" w:eastAsia="Rockwell" w:hAnsi="Rockwell" w:cs="Rockwell"/>
          <w:color w:val="010302"/>
          <w:sz w:val="24"/>
          <w:szCs w:val="24"/>
        </w:rPr>
        <w:t xml:space="preserve"> or extractive industries work authority to rehabilitate the land in accordance with the rehabilitation requirements of the approved work plan, </w:t>
      </w:r>
      <w:r w:rsidR="00DD2703" w:rsidRPr="004A76D7">
        <w:rPr>
          <w:rFonts w:ascii="Rockwell" w:eastAsia="Rockwell" w:hAnsi="Rockwell" w:cs="Rockwell"/>
          <w:color w:val="010302"/>
          <w:sz w:val="24"/>
          <w:szCs w:val="24"/>
        </w:rPr>
        <w:t>license</w:t>
      </w:r>
      <w:r w:rsidRPr="004A76D7">
        <w:rPr>
          <w:rFonts w:ascii="Rockwell" w:eastAsia="Rockwell" w:hAnsi="Rockwell" w:cs="Rockwell"/>
          <w:color w:val="010302"/>
          <w:sz w:val="24"/>
          <w:szCs w:val="24"/>
        </w:rPr>
        <w:t xml:space="preserve"> conditions or specific code of practice</w:t>
      </w:r>
      <w:r w:rsidR="000A1621" w:rsidRPr="004A76D7">
        <w:rPr>
          <w:rFonts w:ascii="Rockwell" w:eastAsia="Rockwell" w:hAnsi="Rockwell" w:cs="Rockwell"/>
          <w:color w:val="010302"/>
          <w:sz w:val="24"/>
          <w:szCs w:val="24"/>
        </w:rPr>
        <w:t xml:space="preserve">. </w:t>
      </w:r>
      <w:r w:rsidRPr="004A76D7">
        <w:rPr>
          <w:rFonts w:ascii="Rockwell" w:eastAsia="Rockwell" w:hAnsi="Rockwell" w:cs="Rockwell"/>
          <w:color w:val="010302"/>
          <w:sz w:val="24"/>
          <w:szCs w:val="24"/>
        </w:rPr>
        <w:t>Rehabilitation bonds will be reviewed when a work plan variation is approved, prior to a tenement being transferred or when requested by the tenement holder.</w:t>
      </w:r>
    </w:p>
    <w:p w:rsidR="004520FD" w:rsidRPr="004A76D7" w:rsidRDefault="004520FD" w:rsidP="000E7DFC">
      <w:pPr>
        <w:shd w:val="clear" w:color="auto" w:fill="FFFFFF"/>
        <w:spacing w:before="240" w:after="240"/>
        <w:jc w:val="both"/>
        <w:rPr>
          <w:rFonts w:ascii="Rockwell" w:eastAsia="Rockwell" w:hAnsi="Rockwell" w:cs="Rockwell"/>
          <w:color w:val="010302"/>
          <w:sz w:val="24"/>
          <w:szCs w:val="24"/>
        </w:rPr>
      </w:pPr>
      <w:r w:rsidRPr="004A76D7">
        <w:rPr>
          <w:rFonts w:ascii="Rockwell" w:eastAsia="Rockwell" w:hAnsi="Rockwell" w:cs="Rockwell"/>
          <w:color w:val="010302"/>
          <w:sz w:val="24"/>
          <w:szCs w:val="24"/>
        </w:rPr>
        <w:t>The bond amount is calculated to address in full, the rehabilitation liability based on the works specified in the approved work plan</w:t>
      </w:r>
      <w:r w:rsidR="00A05CE4" w:rsidRPr="00A05CE4">
        <w:rPr>
          <w:rFonts w:ascii="Rockwell" w:eastAsia="Rockwell" w:hAnsi="Rockwell" w:cs="Rockwell"/>
          <w:color w:val="010302"/>
          <w:sz w:val="24"/>
          <w:szCs w:val="24"/>
        </w:rPr>
        <w:t xml:space="preserve"> </w:t>
      </w:r>
      <w:r w:rsidR="00A05CE4">
        <w:rPr>
          <w:rFonts w:ascii="Rockwell" w:eastAsia="Rockwell" w:hAnsi="Rockwell" w:cs="Rockwell"/>
          <w:color w:val="010302"/>
          <w:sz w:val="24"/>
          <w:szCs w:val="24"/>
        </w:rPr>
        <w:t xml:space="preserve">and </w:t>
      </w:r>
      <w:r w:rsidR="00A05CE4" w:rsidRPr="004A76D7">
        <w:rPr>
          <w:rFonts w:ascii="Rockwell" w:eastAsia="Rockwell" w:hAnsi="Rockwell" w:cs="Rockwell"/>
          <w:color w:val="010302"/>
          <w:sz w:val="24"/>
          <w:szCs w:val="24"/>
        </w:rPr>
        <w:t>at any given stage of the operation</w:t>
      </w:r>
      <w:r w:rsidRPr="004A76D7">
        <w:rPr>
          <w:rFonts w:ascii="Rockwell" w:eastAsia="Rockwell" w:hAnsi="Rockwell" w:cs="Rockwell"/>
          <w:color w:val="010302"/>
          <w:sz w:val="24"/>
          <w:szCs w:val="24"/>
        </w:rPr>
        <w:t xml:space="preserve">. This can take into consideration works that may be limited to a particular stage of the operation provided that clear definition as to the extent of approved works exists. The authority holder must also commit to informing the regulator </w:t>
      </w:r>
      <w:r w:rsidRPr="004A76D7">
        <w:rPr>
          <w:rFonts w:ascii="Rockwell" w:eastAsia="Rockwell" w:hAnsi="Rockwell" w:cs="Rockwell"/>
          <w:color w:val="010302"/>
          <w:sz w:val="24"/>
          <w:szCs w:val="24"/>
        </w:rPr>
        <w:lastRenderedPageBreak/>
        <w:t>when entering a new stage of the operation and enter into a further bond if required to maintain 100% security for the rehabilitation liability.</w:t>
      </w:r>
    </w:p>
    <w:p w:rsidR="00710334" w:rsidRDefault="00710334" w:rsidP="000E7DFC">
      <w:pPr>
        <w:spacing w:after="180"/>
        <w:ind w:left="20"/>
        <w:jc w:val="both"/>
        <w:rPr>
          <w:rFonts w:ascii="Rockwell" w:eastAsia="Rockwell" w:hAnsi="Rockwell" w:cs="Rockwell"/>
          <w:sz w:val="24"/>
          <w:szCs w:val="24"/>
        </w:rPr>
      </w:pPr>
      <w:r>
        <w:rPr>
          <w:rFonts w:ascii="Rockwell" w:eastAsia="Rockwell" w:hAnsi="Rockwell" w:cs="Rockwell"/>
          <w:b/>
          <w:sz w:val="24"/>
          <w:szCs w:val="24"/>
        </w:rPr>
        <w:t xml:space="preserve">2.2.2 </w:t>
      </w:r>
      <w:r w:rsidR="004520FD" w:rsidRPr="004A76D7">
        <w:rPr>
          <w:rFonts w:ascii="Rockwell" w:eastAsia="Rockwell" w:hAnsi="Rockwell" w:cs="Rockwell"/>
          <w:b/>
          <w:sz w:val="24"/>
          <w:szCs w:val="24"/>
        </w:rPr>
        <w:t>South Africa</w:t>
      </w:r>
      <w:r w:rsidR="004520FD" w:rsidRPr="004A76D7">
        <w:rPr>
          <w:rFonts w:ascii="Rockwell" w:eastAsia="Rockwell" w:hAnsi="Rockwell" w:cs="Rockwell"/>
          <w:sz w:val="24"/>
          <w:szCs w:val="24"/>
        </w:rPr>
        <w:t xml:space="preserve">, </w:t>
      </w:r>
    </w:p>
    <w:p w:rsidR="004520FD" w:rsidRPr="004A76D7" w:rsidRDefault="004520FD" w:rsidP="000E7DFC">
      <w:pPr>
        <w:spacing w:after="180"/>
        <w:ind w:left="20"/>
        <w:jc w:val="both"/>
        <w:rPr>
          <w:rFonts w:ascii="Rockwell" w:eastAsia="Rockwell" w:hAnsi="Rockwell" w:cs="Rockwell"/>
          <w:sz w:val="24"/>
          <w:szCs w:val="24"/>
        </w:rPr>
      </w:pPr>
      <w:proofErr w:type="gramStart"/>
      <w:r w:rsidRPr="004A76D7">
        <w:rPr>
          <w:rFonts w:ascii="Rockwell" w:eastAsia="Rockwell" w:hAnsi="Rockwell" w:cs="Rockwell"/>
          <w:sz w:val="24"/>
          <w:szCs w:val="24"/>
        </w:rPr>
        <w:t>the</w:t>
      </w:r>
      <w:proofErr w:type="gramEnd"/>
      <w:r w:rsidRPr="004A76D7">
        <w:rPr>
          <w:rFonts w:ascii="Rockwell" w:eastAsia="Rockwell" w:hAnsi="Rockwell" w:cs="Rockwell"/>
          <w:sz w:val="24"/>
          <w:szCs w:val="24"/>
        </w:rPr>
        <w:t xml:space="preserve"> South African regulations are quite comprehensive in terms of the financial vehicles that applicants must use to make the financial provision. The regulations provide for three key instruments for the financial provision. </w:t>
      </w:r>
    </w:p>
    <w:p w:rsidR="004520FD" w:rsidRPr="000E7DFC" w:rsidRDefault="00C11825" w:rsidP="000E7DFC">
      <w:pPr>
        <w:spacing w:before="60"/>
        <w:jc w:val="both"/>
        <w:rPr>
          <w:rFonts w:ascii="Rockwell" w:eastAsia="Rockwell" w:hAnsi="Rockwell" w:cs="Rockwell"/>
          <w:color w:val="010302"/>
          <w:sz w:val="24"/>
          <w:szCs w:val="24"/>
        </w:rPr>
      </w:pPr>
      <w:proofErr w:type="spellStart"/>
      <w:r w:rsidRPr="000E7DFC">
        <w:rPr>
          <w:rFonts w:ascii="Rockwell" w:eastAsia="Rockwell" w:hAnsi="Rockwell" w:cs="Rockwell"/>
          <w:color w:val="010302"/>
          <w:sz w:val="24"/>
          <w:szCs w:val="24"/>
        </w:rPr>
        <w:t>i</w:t>
      </w:r>
      <w:proofErr w:type="spellEnd"/>
      <w:r w:rsidRPr="000E7DFC">
        <w:rPr>
          <w:rFonts w:ascii="Rockwell" w:eastAsia="Rockwell" w:hAnsi="Rockwell" w:cs="Rockwell"/>
          <w:color w:val="010302"/>
          <w:sz w:val="24"/>
          <w:szCs w:val="24"/>
        </w:rPr>
        <w:t xml:space="preserve">) A </w:t>
      </w:r>
      <w:r w:rsidR="004520FD" w:rsidRPr="000E7DFC">
        <w:rPr>
          <w:rFonts w:ascii="Rockwell" w:eastAsia="Rockwell" w:hAnsi="Rockwell" w:cs="Rockwell"/>
          <w:color w:val="010302"/>
          <w:sz w:val="24"/>
          <w:szCs w:val="24"/>
        </w:rPr>
        <w:t>financial guarantee from a bank duly registered under the Banks Act 1990 or a fina</w:t>
      </w:r>
      <w:r w:rsidRPr="000E7DFC">
        <w:rPr>
          <w:rFonts w:ascii="Rockwell" w:eastAsia="Rockwell" w:hAnsi="Rockwell" w:cs="Rockwell"/>
          <w:color w:val="010302"/>
          <w:sz w:val="24"/>
          <w:szCs w:val="24"/>
        </w:rPr>
        <w:t>ncial institution registered by the Financial</w:t>
      </w:r>
      <w:r w:rsidR="004520FD" w:rsidRPr="000E7DFC">
        <w:rPr>
          <w:rFonts w:ascii="Rockwell" w:eastAsia="Rockwell" w:hAnsi="Rockwell" w:cs="Rockwell"/>
          <w:color w:val="010302"/>
          <w:sz w:val="24"/>
          <w:szCs w:val="24"/>
        </w:rPr>
        <w:t xml:space="preserve"> Services Board </w:t>
      </w:r>
      <w:r w:rsidRPr="000E7DFC">
        <w:rPr>
          <w:rFonts w:ascii="Rockwell" w:eastAsia="Rockwell" w:hAnsi="Rockwell" w:cs="Rockwell"/>
          <w:color w:val="010302"/>
          <w:sz w:val="24"/>
          <w:szCs w:val="24"/>
        </w:rPr>
        <w:t xml:space="preserve">to </w:t>
      </w:r>
      <w:r w:rsidR="004520FD" w:rsidRPr="000E7DFC">
        <w:rPr>
          <w:rFonts w:ascii="Rockwell" w:eastAsia="Rockwell" w:hAnsi="Rockwell" w:cs="Rockwell"/>
          <w:color w:val="010302"/>
          <w:sz w:val="24"/>
          <w:szCs w:val="24"/>
        </w:rPr>
        <w:t>p</w:t>
      </w:r>
      <w:r w:rsidRPr="000E7DFC">
        <w:rPr>
          <w:rFonts w:ascii="Rockwell" w:eastAsia="Rockwell" w:hAnsi="Rockwell" w:cs="Rockwell"/>
          <w:color w:val="010302"/>
          <w:sz w:val="24"/>
          <w:szCs w:val="24"/>
        </w:rPr>
        <w:t xml:space="preserve">erform insurance or </w:t>
      </w:r>
      <w:r w:rsidR="004520FD" w:rsidRPr="000E7DFC">
        <w:rPr>
          <w:rFonts w:ascii="Rockwell" w:eastAsia="Rockwell" w:hAnsi="Rockwell" w:cs="Rockwell"/>
          <w:color w:val="010302"/>
          <w:sz w:val="24"/>
          <w:szCs w:val="24"/>
        </w:rPr>
        <w:t xml:space="preserve">underwriting;  </w:t>
      </w:r>
    </w:p>
    <w:p w:rsidR="004520FD" w:rsidRPr="000E7DFC" w:rsidRDefault="00C11825" w:rsidP="000E7DFC">
      <w:pPr>
        <w:spacing w:before="60"/>
        <w:jc w:val="both"/>
        <w:rPr>
          <w:rFonts w:ascii="Rockwell" w:eastAsia="Rockwell" w:hAnsi="Rockwell" w:cs="Rockwell"/>
          <w:color w:val="010302"/>
          <w:sz w:val="24"/>
          <w:szCs w:val="24"/>
        </w:rPr>
      </w:pPr>
      <w:r w:rsidRPr="000E7DFC">
        <w:rPr>
          <w:rFonts w:ascii="Rockwell" w:eastAsia="Rockwell" w:hAnsi="Rockwell" w:cs="Rockwell"/>
          <w:color w:val="010302"/>
          <w:sz w:val="24"/>
          <w:szCs w:val="24"/>
        </w:rPr>
        <w:t>ii) A financial deposit into</w:t>
      </w:r>
      <w:r w:rsidR="004520FD" w:rsidRPr="000E7DFC">
        <w:rPr>
          <w:rFonts w:ascii="Rockwell" w:eastAsia="Rockwell" w:hAnsi="Rockwell" w:cs="Rockwell"/>
          <w:color w:val="010302"/>
          <w:sz w:val="24"/>
          <w:szCs w:val="24"/>
        </w:rPr>
        <w:t xml:space="preserve"> an </w:t>
      </w:r>
      <w:r w:rsidRPr="000E7DFC">
        <w:rPr>
          <w:rFonts w:ascii="Rockwell" w:eastAsia="Rockwell" w:hAnsi="Rockwell" w:cs="Rockwell"/>
          <w:color w:val="010302"/>
          <w:sz w:val="24"/>
          <w:szCs w:val="24"/>
        </w:rPr>
        <w:t>account a</w:t>
      </w:r>
      <w:r w:rsidR="004520FD" w:rsidRPr="000E7DFC">
        <w:rPr>
          <w:rFonts w:ascii="Rockwell" w:eastAsia="Rockwell" w:hAnsi="Rockwell" w:cs="Rockwell"/>
          <w:color w:val="010302"/>
          <w:sz w:val="24"/>
          <w:szCs w:val="24"/>
        </w:rPr>
        <w:t xml:space="preserve">dministered by the mining minister; and </w:t>
      </w:r>
    </w:p>
    <w:p w:rsidR="004520FD" w:rsidRPr="000E7DFC" w:rsidRDefault="004520FD" w:rsidP="000E7DFC">
      <w:pPr>
        <w:spacing w:before="60"/>
        <w:jc w:val="both"/>
        <w:rPr>
          <w:rFonts w:ascii="Rockwell" w:eastAsia="Rockwell" w:hAnsi="Rockwell" w:cs="Rockwell"/>
          <w:color w:val="010302"/>
          <w:sz w:val="24"/>
          <w:szCs w:val="24"/>
        </w:rPr>
      </w:pPr>
      <w:r w:rsidRPr="000E7DFC">
        <w:rPr>
          <w:rFonts w:ascii="Rockwell" w:eastAsia="Rockwell" w:hAnsi="Rockwell" w:cs="Rockwell"/>
          <w:color w:val="010302"/>
          <w:sz w:val="24"/>
          <w:szCs w:val="24"/>
        </w:rPr>
        <w:t xml:space="preserve">iii) A contribution to a trust fund if the funds are not used for purposes other than those specified in the National Environmental Management Act, 1998. </w:t>
      </w:r>
    </w:p>
    <w:p w:rsidR="00C11825" w:rsidRPr="000E7DFC" w:rsidRDefault="00C11825" w:rsidP="000E7DFC">
      <w:pPr>
        <w:spacing w:before="60"/>
        <w:jc w:val="both"/>
        <w:rPr>
          <w:rFonts w:ascii="Rockwell" w:eastAsia="Rockwell" w:hAnsi="Rockwell" w:cs="Rockwell"/>
          <w:color w:val="010302"/>
          <w:sz w:val="24"/>
          <w:szCs w:val="24"/>
        </w:rPr>
      </w:pPr>
    </w:p>
    <w:p w:rsidR="004520FD" w:rsidRPr="000E7DFC" w:rsidRDefault="004520FD" w:rsidP="000E7DFC">
      <w:pPr>
        <w:spacing w:before="60"/>
        <w:jc w:val="both"/>
        <w:rPr>
          <w:rFonts w:ascii="Rockwell" w:eastAsia="Rockwell" w:hAnsi="Rockwell" w:cs="Rockwell"/>
          <w:color w:val="010302"/>
          <w:sz w:val="24"/>
          <w:szCs w:val="24"/>
        </w:rPr>
      </w:pPr>
      <w:r w:rsidRPr="000E7DFC">
        <w:rPr>
          <w:rFonts w:ascii="Rockwell" w:eastAsia="Rockwell" w:hAnsi="Rockwell" w:cs="Rockwell"/>
          <w:color w:val="010302"/>
          <w:sz w:val="24"/>
          <w:szCs w:val="24"/>
        </w:rPr>
        <w:t xml:space="preserve">The template for the financial guarantor is provided for in the Financial Guarantee.  In the letter, </w:t>
      </w:r>
      <w:r w:rsidR="00C11825" w:rsidRPr="000E7DFC">
        <w:rPr>
          <w:rFonts w:ascii="Rockwell" w:eastAsia="Rockwell" w:hAnsi="Rockwell" w:cs="Rockwell"/>
          <w:color w:val="010302"/>
          <w:sz w:val="24"/>
          <w:szCs w:val="24"/>
        </w:rPr>
        <w:t>the guarantor agrees to pay the</w:t>
      </w:r>
      <w:r w:rsidRPr="000E7DFC">
        <w:rPr>
          <w:rFonts w:ascii="Rockwell" w:eastAsia="Rockwell" w:hAnsi="Rockwell" w:cs="Rockwell"/>
          <w:color w:val="010302"/>
          <w:sz w:val="24"/>
          <w:szCs w:val="24"/>
        </w:rPr>
        <w:t xml:space="preserve"> agreed-upon</w:t>
      </w:r>
      <w:r w:rsidR="00C11825" w:rsidRPr="000E7DFC">
        <w:rPr>
          <w:rFonts w:ascii="Rockwell" w:eastAsia="Rockwell" w:hAnsi="Rockwell" w:cs="Rockwell"/>
          <w:color w:val="010302"/>
          <w:sz w:val="24"/>
          <w:szCs w:val="24"/>
        </w:rPr>
        <w:t xml:space="preserve"> guaranteed sum</w:t>
      </w:r>
      <w:r w:rsidRPr="000E7DFC">
        <w:rPr>
          <w:rFonts w:ascii="Rockwell" w:eastAsia="Rockwell" w:hAnsi="Rockwell" w:cs="Rockwell"/>
          <w:color w:val="010302"/>
          <w:sz w:val="24"/>
          <w:szCs w:val="24"/>
        </w:rPr>
        <w:t xml:space="preserve"> unconditionally no later than two (2) working days after receiving a written claim </w:t>
      </w:r>
      <w:r w:rsidR="00C11825" w:rsidRPr="000E7DFC">
        <w:rPr>
          <w:rFonts w:ascii="Rockwell" w:eastAsia="Rockwell" w:hAnsi="Rockwell" w:cs="Rockwell"/>
          <w:color w:val="010302"/>
          <w:sz w:val="24"/>
          <w:szCs w:val="24"/>
        </w:rPr>
        <w:t>from the government stating the</w:t>
      </w:r>
      <w:r w:rsidRPr="000E7DFC">
        <w:rPr>
          <w:rFonts w:ascii="Rockwell" w:eastAsia="Rockwell" w:hAnsi="Rockwell" w:cs="Rockwell"/>
          <w:color w:val="010302"/>
          <w:sz w:val="24"/>
          <w:szCs w:val="24"/>
        </w:rPr>
        <w:t xml:space="preserve"> applicant's failure to execute the rehabilitation and reclamation plans, as well as fai</w:t>
      </w:r>
      <w:r w:rsidR="00C11825" w:rsidRPr="000E7DFC">
        <w:rPr>
          <w:rFonts w:ascii="Rockwell" w:eastAsia="Rockwell" w:hAnsi="Rockwell" w:cs="Rockwell"/>
          <w:color w:val="010302"/>
          <w:sz w:val="24"/>
          <w:szCs w:val="24"/>
        </w:rPr>
        <w:t xml:space="preserve">lure to begin execution of the </w:t>
      </w:r>
      <w:r w:rsidRPr="000E7DFC">
        <w:rPr>
          <w:rFonts w:ascii="Rockwell" w:eastAsia="Rockwell" w:hAnsi="Rockwell" w:cs="Rockwell"/>
          <w:color w:val="010302"/>
          <w:sz w:val="24"/>
          <w:szCs w:val="24"/>
        </w:rPr>
        <w:t xml:space="preserve">final rehabilitation, decommissioning, and mine closure plans within 10 days </w:t>
      </w:r>
      <w:r w:rsidR="00C11825" w:rsidRPr="000E7DFC">
        <w:rPr>
          <w:rFonts w:ascii="Rockwell" w:eastAsia="Rockwell" w:hAnsi="Rockwell" w:cs="Rockwell"/>
          <w:color w:val="010302"/>
          <w:sz w:val="24"/>
          <w:szCs w:val="24"/>
        </w:rPr>
        <w:t xml:space="preserve">(excluding weekends and public </w:t>
      </w:r>
      <w:r w:rsidRPr="000E7DFC">
        <w:rPr>
          <w:rFonts w:ascii="Rockwell" w:eastAsia="Rockwell" w:hAnsi="Rockwell" w:cs="Rockwell"/>
          <w:color w:val="010302"/>
          <w:sz w:val="24"/>
          <w:szCs w:val="24"/>
        </w:rPr>
        <w:t xml:space="preserve">holidays) on the required date. </w:t>
      </w:r>
    </w:p>
    <w:p w:rsidR="004520FD" w:rsidRPr="004A76D7" w:rsidRDefault="004520FD" w:rsidP="000E7DFC">
      <w:pPr>
        <w:spacing w:before="60"/>
        <w:jc w:val="both"/>
        <w:rPr>
          <w:rFonts w:ascii="Rockwell" w:eastAsia="Rockwell" w:hAnsi="Rockwell" w:cs="Rockwell"/>
          <w:sz w:val="24"/>
          <w:szCs w:val="24"/>
        </w:rPr>
      </w:pPr>
      <w:r w:rsidRPr="004A76D7">
        <w:rPr>
          <w:rFonts w:ascii="Rockwell" w:eastAsia="Rockwell" w:hAnsi="Rockwell" w:cs="Rockwell"/>
          <w:sz w:val="24"/>
          <w:szCs w:val="24"/>
        </w:rPr>
        <w:t xml:space="preserve">The claim can also be submitted to the guarantor if the applicant has begun the mine rehabilitation, decommissioning as per the set-out plan, but is deemed to have failed to make adequate progress on such rehabilitation and decommissioning as per the independent assessment report. The guarantee is also invoked by the state when the applicant is subject to a court order that places him/her in sequestration, liquidation, or bankruptcy.    </w:t>
      </w:r>
    </w:p>
    <w:p w:rsidR="004520FD" w:rsidRPr="004A76D7" w:rsidRDefault="004520FD" w:rsidP="000E7DFC">
      <w:pPr>
        <w:spacing w:before="60"/>
        <w:jc w:val="both"/>
        <w:rPr>
          <w:rFonts w:ascii="Rockwell" w:eastAsia="Rockwell" w:hAnsi="Rockwell" w:cs="Rockwell"/>
          <w:sz w:val="24"/>
          <w:szCs w:val="24"/>
        </w:rPr>
      </w:pPr>
    </w:p>
    <w:p w:rsidR="00710334" w:rsidRDefault="00710334" w:rsidP="000E7DFC">
      <w:pPr>
        <w:spacing w:before="60"/>
        <w:jc w:val="both"/>
        <w:rPr>
          <w:rFonts w:ascii="Rockwell" w:eastAsia="Rockwell" w:hAnsi="Rockwell" w:cs="Rockwell"/>
          <w:b/>
          <w:sz w:val="24"/>
          <w:szCs w:val="24"/>
        </w:rPr>
      </w:pPr>
      <w:r>
        <w:rPr>
          <w:rFonts w:ascii="Rockwell" w:eastAsia="Rockwell" w:hAnsi="Rockwell" w:cs="Rockwell"/>
          <w:b/>
          <w:sz w:val="24"/>
          <w:szCs w:val="24"/>
        </w:rPr>
        <w:t xml:space="preserve">2.2.3 </w:t>
      </w:r>
      <w:r w:rsidR="004520FD" w:rsidRPr="004A76D7">
        <w:rPr>
          <w:rFonts w:ascii="Rockwell" w:eastAsia="Rockwell" w:hAnsi="Rockwell" w:cs="Rockwell"/>
          <w:b/>
          <w:sz w:val="24"/>
          <w:szCs w:val="24"/>
        </w:rPr>
        <w:t>Zambia,</w:t>
      </w:r>
      <w:r w:rsidR="00C11825" w:rsidRPr="004A76D7">
        <w:rPr>
          <w:rFonts w:ascii="Rockwell" w:eastAsia="Rockwell" w:hAnsi="Rockwell" w:cs="Rockwell"/>
          <w:b/>
          <w:sz w:val="24"/>
          <w:szCs w:val="24"/>
        </w:rPr>
        <w:t xml:space="preserve"> </w:t>
      </w:r>
    </w:p>
    <w:p w:rsidR="004520FD" w:rsidRPr="00710334" w:rsidRDefault="004520FD" w:rsidP="000E7DFC">
      <w:pPr>
        <w:spacing w:before="60"/>
        <w:jc w:val="both"/>
        <w:rPr>
          <w:rFonts w:ascii="Rockwell" w:eastAsia="Rockwell" w:hAnsi="Rockwell" w:cs="Rockwell"/>
          <w:b/>
          <w:sz w:val="24"/>
          <w:szCs w:val="24"/>
        </w:rPr>
      </w:pPr>
      <w:proofErr w:type="gramStart"/>
      <w:r w:rsidRPr="004A76D7">
        <w:rPr>
          <w:rFonts w:ascii="Rockwell" w:eastAsia="Rockwell" w:hAnsi="Rockwell" w:cs="Rockwell"/>
          <w:sz w:val="24"/>
          <w:szCs w:val="24"/>
        </w:rPr>
        <w:t>the</w:t>
      </w:r>
      <w:proofErr w:type="gramEnd"/>
      <w:r w:rsidRPr="004A76D7">
        <w:rPr>
          <w:rFonts w:ascii="Rockwell" w:eastAsia="Rockwell" w:hAnsi="Rockwell" w:cs="Rockwell"/>
          <w:sz w:val="24"/>
          <w:szCs w:val="24"/>
        </w:rPr>
        <w:t xml:space="preserve"> principal environmental health and safety laws applicable to the mining sector are the Environmental Act, the Occupational Health and Safety Act No. 36 of 2010, the Mines and Mineral</w:t>
      </w:r>
      <w:r w:rsidR="00C53E55">
        <w:rPr>
          <w:rFonts w:ascii="Rockwell" w:eastAsia="Rockwell" w:hAnsi="Rockwell" w:cs="Rockwell"/>
          <w:sz w:val="24"/>
          <w:szCs w:val="24"/>
        </w:rPr>
        <w:t>s (Environmental) Regulations No</w:t>
      </w:r>
      <w:r w:rsidRPr="004A76D7">
        <w:rPr>
          <w:rFonts w:ascii="Rockwell" w:eastAsia="Rockwell" w:hAnsi="Rockwell" w:cs="Rockwell"/>
          <w:sz w:val="24"/>
          <w:szCs w:val="24"/>
        </w:rPr>
        <w:t>. 29 of 1997 and the Environmental Protection and Pollution Control No. 28 of 1997.</w:t>
      </w:r>
    </w:p>
    <w:p w:rsidR="004520FD" w:rsidRPr="004A76D7" w:rsidRDefault="004520FD" w:rsidP="000E7DFC">
      <w:pPr>
        <w:spacing w:before="60"/>
        <w:jc w:val="both"/>
        <w:rPr>
          <w:rFonts w:ascii="Rockwell" w:eastAsia="Rockwell" w:hAnsi="Rockwell" w:cs="Rockwell"/>
          <w:sz w:val="24"/>
          <w:szCs w:val="24"/>
        </w:rPr>
      </w:pPr>
      <w:r w:rsidRPr="004A76D7">
        <w:rPr>
          <w:rFonts w:ascii="Rockwell" w:eastAsia="Rockwell" w:hAnsi="Rockwell" w:cs="Rockwell"/>
          <w:sz w:val="24"/>
          <w:szCs w:val="24"/>
        </w:rPr>
        <w:t>The principal regulatory bodies responsible for administration of the environmental, health and safety protection regulatory framework are Zambia Environmental Management Agency (ZEMA), the Min</w:t>
      </w:r>
      <w:r w:rsidR="00C53E55">
        <w:rPr>
          <w:rFonts w:ascii="Rockwell" w:eastAsia="Rockwell" w:hAnsi="Rockwell" w:cs="Rockwell"/>
          <w:sz w:val="24"/>
          <w:szCs w:val="24"/>
        </w:rPr>
        <w:t>istry (Mines Safety Department)</w:t>
      </w:r>
      <w:r w:rsidRPr="004A76D7">
        <w:rPr>
          <w:rFonts w:ascii="Rockwell" w:eastAsia="Rockwell" w:hAnsi="Rockwell" w:cs="Rockwell"/>
          <w:sz w:val="24"/>
          <w:szCs w:val="24"/>
        </w:rPr>
        <w:t xml:space="preserve"> and Occupational Safety and Health Agency. The closure procedure of a mining project is fully set out in the Mines and Mineral Regulations. Under the Regulations, closure of a mine can only occur where the applicant has applied to the Director of Mines Safety for a partial or complete closure of a mine.  The application must include an audit report on the environment surrounding the same site prepared by an independent person.</w:t>
      </w:r>
    </w:p>
    <w:p w:rsidR="004520FD" w:rsidRDefault="004520FD" w:rsidP="000E7DFC">
      <w:pPr>
        <w:spacing w:before="60"/>
        <w:jc w:val="both"/>
        <w:rPr>
          <w:rFonts w:ascii="Rockwell" w:eastAsia="Rockwell" w:hAnsi="Rockwell" w:cs="Rockwell"/>
          <w:sz w:val="24"/>
          <w:szCs w:val="24"/>
        </w:rPr>
      </w:pPr>
      <w:r w:rsidRPr="004A76D7">
        <w:rPr>
          <w:rFonts w:ascii="Rockwell" w:eastAsia="Rockwell" w:hAnsi="Rockwell" w:cs="Rockwell"/>
          <w:sz w:val="24"/>
          <w:szCs w:val="24"/>
        </w:rPr>
        <w:lastRenderedPageBreak/>
        <w:t>The Mines and Minerals Regulations provide for refunds to holders of licenses, on application, when a mine site is closed in accordance with the act.</w:t>
      </w:r>
    </w:p>
    <w:p w:rsidR="000E7DFC" w:rsidRDefault="000E7DFC" w:rsidP="000E7DFC">
      <w:pPr>
        <w:spacing w:before="60"/>
        <w:jc w:val="both"/>
        <w:rPr>
          <w:rFonts w:ascii="Rockwell" w:eastAsia="Rockwell" w:hAnsi="Rockwell" w:cs="Rockwell"/>
          <w:sz w:val="24"/>
          <w:szCs w:val="24"/>
        </w:rPr>
      </w:pPr>
    </w:p>
    <w:p w:rsidR="00710334" w:rsidRDefault="00710334" w:rsidP="000E7DFC">
      <w:pPr>
        <w:spacing w:before="60"/>
        <w:ind w:right="146"/>
        <w:jc w:val="both"/>
        <w:rPr>
          <w:rFonts w:ascii="Rockwell" w:eastAsia="Rockwell" w:hAnsi="Rockwell" w:cs="Rockwell"/>
          <w:b/>
          <w:sz w:val="24"/>
          <w:szCs w:val="24"/>
        </w:rPr>
      </w:pPr>
      <w:r>
        <w:rPr>
          <w:rFonts w:ascii="Rockwell" w:eastAsia="Rockwell" w:hAnsi="Rockwell" w:cs="Rockwell"/>
          <w:b/>
          <w:sz w:val="24"/>
          <w:szCs w:val="24"/>
        </w:rPr>
        <w:t xml:space="preserve">2.2.4 </w:t>
      </w:r>
      <w:r w:rsidR="004520FD" w:rsidRPr="004A76D7">
        <w:rPr>
          <w:rFonts w:ascii="Rockwell" w:eastAsia="Rockwell" w:hAnsi="Rockwell" w:cs="Rockwell"/>
          <w:b/>
          <w:sz w:val="24"/>
          <w:szCs w:val="24"/>
        </w:rPr>
        <w:t xml:space="preserve">Botswana, </w:t>
      </w:r>
    </w:p>
    <w:p w:rsidR="004520FD" w:rsidRPr="00710334" w:rsidRDefault="004520FD" w:rsidP="000E7DFC">
      <w:pPr>
        <w:spacing w:before="60"/>
        <w:ind w:right="146"/>
        <w:jc w:val="both"/>
        <w:rPr>
          <w:rFonts w:ascii="Rockwell" w:eastAsia="Rockwell" w:hAnsi="Rockwell" w:cs="Rockwell"/>
          <w:b/>
          <w:sz w:val="24"/>
          <w:szCs w:val="24"/>
        </w:rPr>
      </w:pPr>
      <w:proofErr w:type="gramStart"/>
      <w:r w:rsidRPr="004A76D7">
        <w:rPr>
          <w:rFonts w:ascii="Rockwell" w:eastAsia="Rockwell" w:hAnsi="Rockwell" w:cs="Rockwell"/>
          <w:sz w:val="24"/>
          <w:szCs w:val="24"/>
        </w:rPr>
        <w:t>the</w:t>
      </w:r>
      <w:proofErr w:type="gramEnd"/>
      <w:r w:rsidRPr="004A76D7">
        <w:rPr>
          <w:rFonts w:ascii="Rockwell" w:eastAsia="Rockwell" w:hAnsi="Rockwell" w:cs="Rockwell"/>
          <w:sz w:val="24"/>
          <w:szCs w:val="24"/>
        </w:rPr>
        <w:t xml:space="preserve"> primar</w:t>
      </w:r>
      <w:r w:rsidR="000B7A2F" w:rsidRPr="004A76D7">
        <w:rPr>
          <w:rFonts w:ascii="Rockwell" w:eastAsia="Rockwell" w:hAnsi="Rockwell" w:cs="Rockwell"/>
          <w:sz w:val="24"/>
          <w:szCs w:val="24"/>
        </w:rPr>
        <w:t>y mining legislation</w:t>
      </w:r>
      <w:r w:rsidRPr="004A76D7">
        <w:rPr>
          <w:rFonts w:ascii="Rockwell" w:eastAsia="Rockwell" w:hAnsi="Rockwell" w:cs="Rockwell"/>
          <w:sz w:val="24"/>
          <w:szCs w:val="24"/>
        </w:rPr>
        <w:t xml:space="preserve"> is the Mines and Minerals Act, 1999. The Act is geared towards bringing about progressive reforms of the mining industry and regulates the granting, renewal and termination of prospecting licenses, retention licenses, mining licenses and mineral per</w:t>
      </w:r>
      <w:r w:rsidR="00DD2703" w:rsidRPr="004A76D7">
        <w:rPr>
          <w:rFonts w:ascii="Rockwell" w:eastAsia="Rockwell" w:hAnsi="Rockwell" w:cs="Rockwell"/>
          <w:sz w:val="24"/>
          <w:szCs w:val="24"/>
        </w:rPr>
        <w:t xml:space="preserve">mits (collectively referred to </w:t>
      </w:r>
      <w:r w:rsidRPr="004A76D7">
        <w:rPr>
          <w:rFonts w:ascii="Rockwell" w:eastAsia="Rockwell" w:hAnsi="Rockwell" w:cs="Rockwell"/>
          <w:sz w:val="24"/>
          <w:szCs w:val="24"/>
        </w:rPr>
        <w:t>as mineral concessions), payment of royalties and all matters incide</w:t>
      </w:r>
      <w:r w:rsidR="00DD2703" w:rsidRPr="004A76D7">
        <w:rPr>
          <w:rFonts w:ascii="Rockwell" w:eastAsia="Rockwell" w:hAnsi="Rockwell" w:cs="Rockwell"/>
          <w:sz w:val="24"/>
          <w:szCs w:val="24"/>
        </w:rPr>
        <w:t xml:space="preserve">ntal to mines and </w:t>
      </w:r>
      <w:r w:rsidRPr="004A76D7">
        <w:rPr>
          <w:rFonts w:ascii="Rockwell" w:eastAsia="Rockwell" w:hAnsi="Rockwell" w:cs="Rockwell"/>
          <w:sz w:val="24"/>
          <w:szCs w:val="24"/>
        </w:rPr>
        <w:t>minerals.</w:t>
      </w:r>
    </w:p>
    <w:p w:rsidR="000E7DFC" w:rsidRPr="004A76D7" w:rsidRDefault="000E7DFC" w:rsidP="000E7DFC">
      <w:pPr>
        <w:spacing w:before="60"/>
        <w:ind w:right="146"/>
        <w:jc w:val="both"/>
        <w:rPr>
          <w:rFonts w:ascii="Rockwell" w:eastAsia="Rockwell" w:hAnsi="Rockwell" w:cs="Rockwell"/>
          <w:sz w:val="24"/>
          <w:szCs w:val="24"/>
        </w:rPr>
      </w:pPr>
    </w:p>
    <w:p w:rsidR="004520FD" w:rsidRDefault="004520FD" w:rsidP="000E7DFC">
      <w:pPr>
        <w:spacing w:before="60"/>
        <w:ind w:right="146"/>
        <w:jc w:val="both"/>
        <w:rPr>
          <w:rFonts w:ascii="Rockwell" w:eastAsia="Rockwell" w:hAnsi="Rockwell" w:cs="Rockwell"/>
          <w:sz w:val="24"/>
          <w:szCs w:val="24"/>
        </w:rPr>
      </w:pPr>
      <w:r w:rsidRPr="004A76D7">
        <w:rPr>
          <w:rFonts w:ascii="Rockwell" w:eastAsia="Rockwell" w:hAnsi="Rockwell" w:cs="Rockwell"/>
          <w:sz w:val="24"/>
          <w:szCs w:val="24"/>
        </w:rPr>
        <w:t>The Mines Act provides that the holder of a mineral concession shall ensure the concession area is rehabilitated from time to time; and take measures as are required from time to time to maintain and restore the topsoil of affected areas and otherwise restore the land substantially to the condition in which it wa</w:t>
      </w:r>
      <w:r w:rsidR="00DD2703" w:rsidRPr="004A76D7">
        <w:rPr>
          <w:rFonts w:ascii="Rockwell" w:eastAsia="Rockwell" w:hAnsi="Rockwell" w:cs="Rockwell"/>
          <w:sz w:val="24"/>
          <w:szCs w:val="24"/>
        </w:rPr>
        <w:t xml:space="preserve">s prior to the commencement of </w:t>
      </w:r>
      <w:r w:rsidRPr="004A76D7">
        <w:rPr>
          <w:rFonts w:ascii="Rockwell" w:eastAsia="Rockwell" w:hAnsi="Rockwell" w:cs="Rockwell"/>
          <w:sz w:val="24"/>
          <w:szCs w:val="24"/>
        </w:rPr>
        <w:t xml:space="preserve">operations. </w:t>
      </w:r>
    </w:p>
    <w:p w:rsidR="000E7DFC" w:rsidRPr="004A76D7" w:rsidRDefault="000E7DFC" w:rsidP="000E7DFC">
      <w:pPr>
        <w:spacing w:before="60"/>
        <w:ind w:right="146"/>
        <w:jc w:val="both"/>
        <w:rPr>
          <w:rFonts w:ascii="Rockwell" w:eastAsia="Rockwell" w:hAnsi="Rockwell" w:cs="Rockwell"/>
          <w:sz w:val="24"/>
          <w:szCs w:val="24"/>
        </w:rPr>
      </w:pPr>
    </w:p>
    <w:p w:rsidR="00710334" w:rsidRDefault="00710334" w:rsidP="000E7DFC">
      <w:pPr>
        <w:spacing w:before="60"/>
        <w:ind w:right="4"/>
        <w:jc w:val="both"/>
        <w:rPr>
          <w:rFonts w:ascii="Rockwell" w:eastAsia="Rockwell" w:hAnsi="Rockwell" w:cs="Rockwell"/>
          <w:sz w:val="24"/>
          <w:szCs w:val="24"/>
        </w:rPr>
      </w:pPr>
      <w:r>
        <w:rPr>
          <w:rFonts w:ascii="Rockwell" w:eastAsia="Rockwell" w:hAnsi="Rockwell" w:cs="Rockwell"/>
          <w:b/>
          <w:sz w:val="24"/>
          <w:szCs w:val="24"/>
        </w:rPr>
        <w:t xml:space="preserve">2.2.5 </w:t>
      </w:r>
      <w:r w:rsidR="004520FD" w:rsidRPr="004A76D7">
        <w:rPr>
          <w:rFonts w:ascii="Rockwell" w:eastAsia="Rockwell" w:hAnsi="Rockwell" w:cs="Rockwell"/>
          <w:b/>
          <w:sz w:val="24"/>
          <w:szCs w:val="24"/>
        </w:rPr>
        <w:t>Tanzania</w:t>
      </w:r>
      <w:r w:rsidR="004520FD" w:rsidRPr="004A76D7">
        <w:rPr>
          <w:rFonts w:ascii="Rockwell" w:eastAsia="Rockwell" w:hAnsi="Rockwell" w:cs="Rockwell"/>
          <w:sz w:val="24"/>
          <w:szCs w:val="24"/>
        </w:rPr>
        <w:t xml:space="preserve">, </w:t>
      </w:r>
    </w:p>
    <w:p w:rsidR="004520FD" w:rsidRPr="004A76D7" w:rsidRDefault="004520FD" w:rsidP="000E7DFC">
      <w:pPr>
        <w:spacing w:before="60"/>
        <w:ind w:right="4"/>
        <w:jc w:val="both"/>
        <w:rPr>
          <w:rFonts w:ascii="Rockwell" w:eastAsia="Rockwell" w:hAnsi="Rockwell" w:cs="Rockwell"/>
          <w:sz w:val="24"/>
          <w:szCs w:val="24"/>
        </w:rPr>
      </w:pPr>
      <w:r w:rsidRPr="004A76D7">
        <w:rPr>
          <w:rFonts w:ascii="Rockwell" w:eastAsia="Rockwell" w:hAnsi="Rockwell" w:cs="Rockwell"/>
          <w:sz w:val="24"/>
          <w:szCs w:val="24"/>
        </w:rPr>
        <w:t xml:space="preserve">Section 44(d) of the Mining Act, Cap. 123 states that “whenever required by the Minister after consultation with the Mining Advisory Committee, the holder of a Special Mining </w:t>
      </w:r>
      <w:proofErr w:type="spellStart"/>
      <w:r w:rsidRPr="004A76D7">
        <w:rPr>
          <w:rFonts w:ascii="Rockwell" w:eastAsia="Rockwell" w:hAnsi="Rockwell" w:cs="Rockwell"/>
          <w:sz w:val="24"/>
          <w:szCs w:val="24"/>
        </w:rPr>
        <w:t>Licence</w:t>
      </w:r>
      <w:proofErr w:type="spellEnd"/>
      <w:r w:rsidRPr="004A76D7">
        <w:rPr>
          <w:rFonts w:ascii="Rockwell" w:eastAsia="Rockwell" w:hAnsi="Rockwell" w:cs="Rockwell"/>
          <w:sz w:val="24"/>
          <w:szCs w:val="24"/>
        </w:rPr>
        <w:t xml:space="preserve"> shall, as a condition of the </w:t>
      </w:r>
      <w:proofErr w:type="spellStart"/>
      <w:r w:rsidRPr="004A76D7">
        <w:rPr>
          <w:rFonts w:ascii="Rockwell" w:eastAsia="Rockwell" w:hAnsi="Rockwell" w:cs="Rockwell"/>
          <w:sz w:val="24"/>
          <w:szCs w:val="24"/>
        </w:rPr>
        <w:t>licence</w:t>
      </w:r>
      <w:proofErr w:type="spellEnd"/>
      <w:r w:rsidRPr="004A76D7">
        <w:rPr>
          <w:rFonts w:ascii="Rockwell" w:eastAsia="Rockwell" w:hAnsi="Rockwell" w:cs="Rockwell"/>
          <w:sz w:val="24"/>
          <w:szCs w:val="24"/>
        </w:rPr>
        <w:t xml:space="preserve">, provide for the posting of a rehabilitation bond as provided for in the Regulations, to finance the costs of rehabilitation and making safe the mining area on termination of mining operations where the holder of the Special Mining </w:t>
      </w:r>
      <w:proofErr w:type="spellStart"/>
      <w:r w:rsidRPr="004A76D7">
        <w:rPr>
          <w:rFonts w:ascii="Rockwell" w:eastAsia="Rockwell" w:hAnsi="Rockwell" w:cs="Rockwell"/>
          <w:sz w:val="24"/>
          <w:szCs w:val="24"/>
        </w:rPr>
        <w:t>Licence</w:t>
      </w:r>
      <w:proofErr w:type="spellEnd"/>
      <w:r w:rsidRPr="004A76D7">
        <w:rPr>
          <w:rFonts w:ascii="Rockwell" w:eastAsia="Rockwell" w:hAnsi="Rockwell" w:cs="Rockwell"/>
          <w:sz w:val="24"/>
          <w:szCs w:val="24"/>
        </w:rPr>
        <w:t xml:space="preserve"> has failed to meet his obligations in this respect.</w:t>
      </w:r>
    </w:p>
    <w:p w:rsidR="004520FD" w:rsidRPr="004A76D7" w:rsidRDefault="004520FD" w:rsidP="000E7DFC">
      <w:pPr>
        <w:spacing w:before="240" w:after="240"/>
        <w:jc w:val="both"/>
        <w:rPr>
          <w:rFonts w:ascii="Rockwell" w:eastAsia="Rockwell" w:hAnsi="Rockwell" w:cs="Rockwell"/>
          <w:sz w:val="24"/>
          <w:szCs w:val="24"/>
        </w:rPr>
      </w:pPr>
      <w:r w:rsidRPr="004A76D7">
        <w:rPr>
          <w:rFonts w:ascii="Rockwell" w:eastAsia="Rockwell" w:hAnsi="Rockwell" w:cs="Rockwell"/>
          <w:sz w:val="24"/>
          <w:szCs w:val="24"/>
        </w:rPr>
        <w:t xml:space="preserve">Regulation 31(1) of the Mining (Environmental Management and Protection) Regulations, 1999 stipulates that the Minister may require a holder of a Special Mining </w:t>
      </w:r>
      <w:proofErr w:type="spellStart"/>
      <w:r w:rsidRPr="004A76D7">
        <w:rPr>
          <w:rFonts w:ascii="Rockwell" w:eastAsia="Rockwell" w:hAnsi="Rockwell" w:cs="Rockwell"/>
          <w:sz w:val="24"/>
          <w:szCs w:val="24"/>
        </w:rPr>
        <w:t>Licence</w:t>
      </w:r>
      <w:proofErr w:type="spellEnd"/>
      <w:r w:rsidRPr="004A76D7">
        <w:rPr>
          <w:rFonts w:ascii="Rockwell" w:eastAsia="Rockwell" w:hAnsi="Rockwell" w:cs="Rockwell"/>
          <w:sz w:val="24"/>
          <w:szCs w:val="24"/>
        </w:rPr>
        <w:t xml:space="preserve">, Mining </w:t>
      </w:r>
      <w:proofErr w:type="spellStart"/>
      <w:r w:rsidRPr="004A76D7">
        <w:rPr>
          <w:rFonts w:ascii="Rockwell" w:eastAsia="Rockwell" w:hAnsi="Rockwell" w:cs="Rockwell"/>
          <w:sz w:val="24"/>
          <w:szCs w:val="24"/>
        </w:rPr>
        <w:t>Licence</w:t>
      </w:r>
      <w:proofErr w:type="spellEnd"/>
      <w:r w:rsidRPr="004A76D7">
        <w:rPr>
          <w:rFonts w:ascii="Rockwell" w:eastAsia="Rockwell" w:hAnsi="Rockwell" w:cs="Rockwell"/>
          <w:sz w:val="24"/>
          <w:szCs w:val="24"/>
        </w:rPr>
        <w:t xml:space="preserve">, or Gemstone Mining </w:t>
      </w:r>
      <w:proofErr w:type="spellStart"/>
      <w:r w:rsidRPr="004A76D7">
        <w:rPr>
          <w:rFonts w:ascii="Rockwell" w:eastAsia="Rockwell" w:hAnsi="Rockwell" w:cs="Rockwell"/>
          <w:sz w:val="24"/>
          <w:szCs w:val="24"/>
        </w:rPr>
        <w:t>Licence</w:t>
      </w:r>
      <w:proofErr w:type="spellEnd"/>
      <w:r w:rsidRPr="004A76D7">
        <w:rPr>
          <w:rFonts w:ascii="Rockwell" w:eastAsia="Rockwell" w:hAnsi="Rockwell" w:cs="Rockwell"/>
          <w:sz w:val="24"/>
          <w:szCs w:val="24"/>
        </w:rPr>
        <w:t xml:space="preserve"> to provide for posting of a rehabilitation bond which shall be in any of the following form: Escrow Account, Capital Bond, Insurance or Bank Guarantee Bond, Pledging and Assets, or any other form which may be agreed between the Government and the licensee.</w:t>
      </w:r>
    </w:p>
    <w:p w:rsidR="004520FD" w:rsidRPr="004A76D7" w:rsidRDefault="004520FD" w:rsidP="000E7DFC">
      <w:pPr>
        <w:spacing w:before="240" w:after="240"/>
        <w:jc w:val="both"/>
        <w:rPr>
          <w:rFonts w:ascii="Rockwell" w:eastAsia="Rockwell" w:hAnsi="Rockwell" w:cs="Rockwell"/>
          <w:sz w:val="24"/>
          <w:szCs w:val="24"/>
        </w:rPr>
      </w:pPr>
      <w:r w:rsidRPr="004A76D7">
        <w:rPr>
          <w:rFonts w:ascii="Rockwell" w:eastAsia="Rockwell" w:hAnsi="Rockwell" w:cs="Rockwell"/>
          <w:sz w:val="24"/>
          <w:szCs w:val="24"/>
        </w:rPr>
        <w:t>Tanzania Government has formulated the Mine Closure Guidelines 2019 made under section 19 of the Mining Act, Cap 123-22 October 2019.</w:t>
      </w:r>
      <w:r w:rsidR="00C53E55" w:rsidRPr="00C53E55">
        <w:rPr>
          <w:rFonts w:ascii="Rockwell" w:eastAsia="Rockwell" w:hAnsi="Rockwell" w:cs="Rockwell"/>
          <w:sz w:val="24"/>
          <w:szCs w:val="24"/>
        </w:rPr>
        <w:t xml:space="preserve"> </w:t>
      </w:r>
      <w:r w:rsidR="00C53E55" w:rsidRPr="004A76D7">
        <w:rPr>
          <w:rFonts w:ascii="Rockwell" w:eastAsia="Rockwell" w:hAnsi="Rockwell" w:cs="Rockwell"/>
          <w:sz w:val="24"/>
          <w:szCs w:val="24"/>
        </w:rPr>
        <w:t>The purpose of these guidelines</w:t>
      </w:r>
      <w:r w:rsidR="00C53E55">
        <w:rPr>
          <w:rFonts w:ascii="Rockwell" w:eastAsia="Rockwell" w:hAnsi="Rockwell" w:cs="Rockwell"/>
          <w:sz w:val="24"/>
          <w:szCs w:val="24"/>
        </w:rPr>
        <w:t xml:space="preserve"> </w:t>
      </w:r>
      <w:r w:rsidR="00C53E55" w:rsidRPr="004A76D7">
        <w:rPr>
          <w:rFonts w:ascii="Rockwell" w:eastAsia="Rockwell" w:hAnsi="Rockwell" w:cs="Rockwell"/>
          <w:sz w:val="24"/>
          <w:szCs w:val="24"/>
        </w:rPr>
        <w:t>is to provide guidance on the preparation, implementation and monitoring of MCP to meet local mining regulatory framework and requirements while addressing the identified challenges.</w:t>
      </w:r>
      <w:r w:rsidR="00C53E55">
        <w:rPr>
          <w:rFonts w:ascii="Rockwell" w:eastAsia="Rockwell" w:hAnsi="Rockwell" w:cs="Rockwell"/>
          <w:sz w:val="24"/>
          <w:szCs w:val="24"/>
        </w:rPr>
        <w:t xml:space="preserve"> </w:t>
      </w:r>
      <w:r w:rsidRPr="004A76D7">
        <w:rPr>
          <w:rFonts w:ascii="Rockwell" w:eastAsia="Rockwell" w:hAnsi="Rockwell" w:cs="Rockwell"/>
          <w:sz w:val="24"/>
          <w:szCs w:val="24"/>
          <w:highlight w:val="white"/>
        </w:rPr>
        <w:t>The Mine Closure Process (</w:t>
      </w:r>
      <w:r w:rsidRPr="004A76D7">
        <w:rPr>
          <w:rFonts w:ascii="Rockwell" w:eastAsia="Rockwell" w:hAnsi="Rockwell" w:cs="Rockwell"/>
          <w:sz w:val="24"/>
          <w:szCs w:val="24"/>
        </w:rPr>
        <w:t xml:space="preserve">MCP) </w:t>
      </w:r>
      <w:r w:rsidRPr="004A76D7">
        <w:rPr>
          <w:rFonts w:ascii="Rockwell" w:eastAsia="Rockwell" w:hAnsi="Rockwell" w:cs="Rockwell"/>
          <w:sz w:val="24"/>
          <w:szCs w:val="24"/>
          <w:highlight w:val="white"/>
        </w:rPr>
        <w:t xml:space="preserve">is administered by the National Mining Closure Committee that comprises members from various Government Institutions. </w:t>
      </w:r>
    </w:p>
    <w:p w:rsidR="004520FD" w:rsidRPr="004A76D7" w:rsidRDefault="004520FD" w:rsidP="000E7DFC">
      <w:pPr>
        <w:shd w:val="clear" w:color="auto" w:fill="FFFFFF"/>
        <w:spacing w:before="240" w:after="280"/>
        <w:jc w:val="both"/>
        <w:rPr>
          <w:rFonts w:ascii="Rockwell" w:eastAsia="Rockwell" w:hAnsi="Rockwell" w:cs="Rockwell"/>
          <w:sz w:val="24"/>
          <w:szCs w:val="24"/>
        </w:rPr>
      </w:pPr>
      <w:r w:rsidRPr="004A76D7">
        <w:rPr>
          <w:rFonts w:ascii="Rockwell" w:eastAsia="Rockwell" w:hAnsi="Rockwell" w:cs="Rockwell"/>
          <w:sz w:val="24"/>
          <w:szCs w:val="24"/>
        </w:rPr>
        <w:t xml:space="preserve">The Mine Closure Guidelines aim at informing the mineral right holders of Special Mining Licenses (SMLs) and Mining Licenses (MLs); regulatory authorities and </w:t>
      </w:r>
      <w:r w:rsidRPr="004A76D7">
        <w:rPr>
          <w:rFonts w:ascii="Rockwell" w:eastAsia="Rockwell" w:hAnsi="Rockwell" w:cs="Rockwell"/>
          <w:sz w:val="24"/>
          <w:szCs w:val="24"/>
        </w:rPr>
        <w:lastRenderedPageBreak/>
        <w:t>other relevant technical practitioners in administering the preparation, implementation and monitoring of MCPs on:</w:t>
      </w:r>
    </w:p>
    <w:p w:rsidR="004520FD" w:rsidRPr="004A76D7" w:rsidRDefault="004520FD" w:rsidP="000E7DFC">
      <w:pPr>
        <w:shd w:val="clear" w:color="auto" w:fill="FFFFFF"/>
        <w:spacing w:before="240" w:after="280"/>
        <w:jc w:val="both"/>
        <w:rPr>
          <w:rFonts w:ascii="Rockwell" w:eastAsia="Rockwell" w:hAnsi="Rockwell" w:cs="Rockwell"/>
          <w:sz w:val="24"/>
          <w:szCs w:val="24"/>
        </w:rPr>
      </w:pPr>
      <w:proofErr w:type="spellStart"/>
      <w:r w:rsidRPr="004A76D7">
        <w:rPr>
          <w:rFonts w:ascii="Rockwell" w:eastAsia="Rockwell" w:hAnsi="Rockwell" w:cs="Rockwell"/>
          <w:sz w:val="24"/>
          <w:szCs w:val="24"/>
        </w:rPr>
        <w:t>i</w:t>
      </w:r>
      <w:proofErr w:type="spellEnd"/>
      <w:r w:rsidRPr="004A76D7">
        <w:rPr>
          <w:rFonts w:ascii="Rockwell" w:eastAsia="Rockwell" w:hAnsi="Rockwell" w:cs="Rockwell"/>
          <w:sz w:val="24"/>
          <w:szCs w:val="24"/>
        </w:rPr>
        <w:t>. Activities required to be undertaken for mine closure;</w:t>
      </w:r>
    </w:p>
    <w:p w:rsidR="004520FD" w:rsidRPr="004A76D7" w:rsidRDefault="004520FD" w:rsidP="000E7DFC">
      <w:pPr>
        <w:shd w:val="clear" w:color="auto" w:fill="FFFFFF"/>
        <w:spacing w:before="240" w:after="280"/>
        <w:jc w:val="both"/>
        <w:rPr>
          <w:rFonts w:ascii="Rockwell" w:eastAsia="Rockwell" w:hAnsi="Rockwell" w:cs="Rockwell"/>
          <w:sz w:val="24"/>
          <w:szCs w:val="24"/>
        </w:rPr>
      </w:pPr>
      <w:r w:rsidRPr="004A76D7">
        <w:rPr>
          <w:rFonts w:ascii="Rockwell" w:eastAsia="Rockwell" w:hAnsi="Rockwell" w:cs="Rockwell"/>
          <w:sz w:val="24"/>
          <w:szCs w:val="24"/>
        </w:rPr>
        <w:t>ii. Procedures for safe decommissioning of the mine;</w:t>
      </w:r>
    </w:p>
    <w:p w:rsidR="004520FD" w:rsidRPr="004A76D7" w:rsidRDefault="004520FD" w:rsidP="000E7DFC">
      <w:pPr>
        <w:shd w:val="clear" w:color="auto" w:fill="FFFFFF"/>
        <w:spacing w:before="240" w:after="280"/>
        <w:jc w:val="both"/>
        <w:rPr>
          <w:rFonts w:ascii="Rockwell" w:eastAsia="Rockwell" w:hAnsi="Rockwell" w:cs="Rockwell"/>
          <w:sz w:val="24"/>
          <w:szCs w:val="24"/>
        </w:rPr>
      </w:pPr>
      <w:r w:rsidRPr="004A76D7">
        <w:rPr>
          <w:rFonts w:ascii="Rockwell" w:eastAsia="Rockwell" w:hAnsi="Rockwell" w:cs="Rockwell"/>
          <w:sz w:val="24"/>
          <w:szCs w:val="24"/>
        </w:rPr>
        <w:t>iii. Scientific studies required to be incorporated in the MCP;</w:t>
      </w:r>
    </w:p>
    <w:p w:rsidR="004520FD" w:rsidRPr="004A76D7" w:rsidRDefault="004520FD" w:rsidP="000E7DFC">
      <w:pPr>
        <w:shd w:val="clear" w:color="auto" w:fill="FFFFFF"/>
        <w:spacing w:before="240" w:after="280"/>
        <w:jc w:val="both"/>
        <w:rPr>
          <w:rFonts w:ascii="Rockwell" w:eastAsia="Rockwell" w:hAnsi="Rockwell" w:cs="Rockwell"/>
          <w:sz w:val="24"/>
          <w:szCs w:val="24"/>
        </w:rPr>
      </w:pPr>
      <w:r w:rsidRPr="004A76D7">
        <w:rPr>
          <w:rFonts w:ascii="Rockwell" w:eastAsia="Rockwell" w:hAnsi="Rockwell" w:cs="Rockwell"/>
          <w:sz w:val="24"/>
          <w:szCs w:val="24"/>
        </w:rPr>
        <w:t>iv. Reclamation cost and rehabilitation bond; and</w:t>
      </w:r>
    </w:p>
    <w:p w:rsidR="004520FD" w:rsidRPr="004A76D7" w:rsidRDefault="004520FD" w:rsidP="000E7DFC">
      <w:pPr>
        <w:shd w:val="clear" w:color="auto" w:fill="FFFFFF"/>
        <w:spacing w:before="240" w:after="280"/>
        <w:jc w:val="both"/>
        <w:rPr>
          <w:rFonts w:ascii="Rockwell" w:eastAsia="Rockwell" w:hAnsi="Rockwell" w:cs="Rockwell"/>
          <w:sz w:val="24"/>
          <w:szCs w:val="24"/>
        </w:rPr>
      </w:pPr>
      <w:r w:rsidRPr="004A76D7">
        <w:rPr>
          <w:rFonts w:ascii="Rockwell" w:eastAsia="Rockwell" w:hAnsi="Rockwell" w:cs="Rockwell"/>
          <w:sz w:val="24"/>
          <w:szCs w:val="24"/>
        </w:rPr>
        <w:t>v. Duration for post closure monitoring.</w:t>
      </w:r>
    </w:p>
    <w:p w:rsidR="004520FD" w:rsidRPr="004A76D7" w:rsidRDefault="004520FD" w:rsidP="000E7DFC">
      <w:pPr>
        <w:shd w:val="clear" w:color="auto" w:fill="FFFFFF"/>
        <w:spacing w:before="240" w:after="280"/>
        <w:jc w:val="both"/>
        <w:rPr>
          <w:rFonts w:ascii="Rockwell" w:eastAsia="Rockwell" w:hAnsi="Rockwell" w:cs="Rockwell"/>
          <w:sz w:val="24"/>
          <w:szCs w:val="24"/>
        </w:rPr>
      </w:pPr>
      <w:r w:rsidRPr="004A76D7">
        <w:rPr>
          <w:rFonts w:ascii="Rockwell" w:eastAsia="Rockwell" w:hAnsi="Rockwell" w:cs="Rockwell"/>
          <w:sz w:val="24"/>
          <w:szCs w:val="24"/>
        </w:rPr>
        <w:t>The MCP shall also reflect the following:</w:t>
      </w:r>
    </w:p>
    <w:p w:rsidR="004520FD" w:rsidRPr="004A76D7" w:rsidRDefault="004520FD" w:rsidP="000E7DFC">
      <w:pPr>
        <w:shd w:val="clear" w:color="auto" w:fill="FFFFFF"/>
        <w:spacing w:before="240" w:after="280"/>
        <w:jc w:val="both"/>
        <w:rPr>
          <w:rFonts w:ascii="Rockwell" w:eastAsia="Rockwell" w:hAnsi="Rockwell" w:cs="Rockwell"/>
          <w:sz w:val="24"/>
          <w:szCs w:val="24"/>
        </w:rPr>
      </w:pPr>
      <w:proofErr w:type="spellStart"/>
      <w:r w:rsidRPr="004A76D7">
        <w:rPr>
          <w:rFonts w:ascii="Rockwell" w:eastAsia="Rockwell" w:hAnsi="Rockwell" w:cs="Rockwell"/>
          <w:sz w:val="24"/>
          <w:szCs w:val="24"/>
        </w:rPr>
        <w:t>i</w:t>
      </w:r>
      <w:proofErr w:type="spellEnd"/>
      <w:r w:rsidRPr="004A76D7">
        <w:rPr>
          <w:rFonts w:ascii="Rockwell" w:eastAsia="Rockwell" w:hAnsi="Rockwell" w:cs="Rockwell"/>
          <w:sz w:val="24"/>
          <w:szCs w:val="24"/>
        </w:rPr>
        <w:t>. Progressive Mine Closure Plan: The MCP shall include all issues related to progressive rehabilitation during the mine operations including land use planning.</w:t>
      </w:r>
    </w:p>
    <w:p w:rsidR="004520FD" w:rsidRPr="004A76D7" w:rsidRDefault="004520FD" w:rsidP="000E7DFC">
      <w:pPr>
        <w:shd w:val="clear" w:color="auto" w:fill="FFFFFF"/>
        <w:spacing w:before="240" w:after="280"/>
        <w:jc w:val="both"/>
        <w:rPr>
          <w:rFonts w:ascii="Rockwell" w:eastAsia="Rockwell" w:hAnsi="Rockwell" w:cs="Rockwell"/>
          <w:b/>
          <w:sz w:val="24"/>
          <w:szCs w:val="24"/>
        </w:rPr>
      </w:pPr>
      <w:r w:rsidRPr="004A76D7">
        <w:rPr>
          <w:rFonts w:ascii="Rockwell" w:eastAsia="Rockwell" w:hAnsi="Rockwell" w:cs="Rockwell"/>
          <w:sz w:val="24"/>
          <w:szCs w:val="24"/>
        </w:rPr>
        <w:t>ii. Final Mine Closure Plan: It shall address the closure activities at the end of mine life and post closure until the mine areas reach self-sustaining conditions.</w:t>
      </w:r>
    </w:p>
    <w:p w:rsidR="00710334" w:rsidRDefault="00710334" w:rsidP="000E7DFC">
      <w:pPr>
        <w:shd w:val="clear" w:color="auto" w:fill="FFFFFF"/>
        <w:spacing w:before="240" w:after="280"/>
        <w:jc w:val="both"/>
        <w:rPr>
          <w:rFonts w:ascii="Rockwell" w:eastAsia="Rockwell" w:hAnsi="Rockwell" w:cs="Rockwell"/>
          <w:sz w:val="24"/>
          <w:szCs w:val="24"/>
        </w:rPr>
      </w:pPr>
      <w:r>
        <w:rPr>
          <w:rFonts w:ascii="Rockwell" w:eastAsia="Rockwell" w:hAnsi="Rockwell" w:cs="Rockwell"/>
          <w:b/>
          <w:sz w:val="24"/>
          <w:szCs w:val="24"/>
        </w:rPr>
        <w:t xml:space="preserve">2.2.6 </w:t>
      </w:r>
      <w:r w:rsidR="004520FD" w:rsidRPr="000E7DFC">
        <w:rPr>
          <w:rFonts w:ascii="Rockwell" w:eastAsia="Rockwell" w:hAnsi="Rockwell" w:cs="Rockwell"/>
          <w:b/>
          <w:sz w:val="24"/>
          <w:szCs w:val="24"/>
        </w:rPr>
        <w:t>Ghana,</w:t>
      </w:r>
      <w:r w:rsidR="004520FD" w:rsidRPr="004A76D7">
        <w:rPr>
          <w:rFonts w:ascii="Rockwell" w:eastAsia="Rockwell" w:hAnsi="Rockwell" w:cs="Rockwell"/>
          <w:sz w:val="24"/>
          <w:szCs w:val="24"/>
        </w:rPr>
        <w:t xml:space="preserve"> </w:t>
      </w:r>
    </w:p>
    <w:p w:rsidR="004520FD" w:rsidRPr="004A76D7" w:rsidRDefault="004520FD" w:rsidP="000E7DFC">
      <w:pPr>
        <w:shd w:val="clear" w:color="auto" w:fill="FFFFFF"/>
        <w:spacing w:before="240" w:after="280"/>
        <w:jc w:val="both"/>
        <w:rPr>
          <w:rFonts w:ascii="Rockwell" w:eastAsia="Rockwell" w:hAnsi="Rockwell" w:cs="Rockwell"/>
          <w:sz w:val="24"/>
          <w:szCs w:val="24"/>
        </w:rPr>
      </w:pPr>
      <w:proofErr w:type="gramStart"/>
      <w:r w:rsidRPr="004A76D7">
        <w:rPr>
          <w:rFonts w:ascii="Rockwell" w:eastAsia="Rockwell" w:hAnsi="Rockwell" w:cs="Rockwell"/>
          <w:sz w:val="24"/>
          <w:szCs w:val="24"/>
        </w:rPr>
        <w:t>the</w:t>
      </w:r>
      <w:proofErr w:type="gramEnd"/>
      <w:r w:rsidRPr="004A76D7">
        <w:rPr>
          <w:rFonts w:ascii="Rockwell" w:eastAsia="Rockwell" w:hAnsi="Rockwell" w:cs="Rockwell"/>
          <w:sz w:val="24"/>
          <w:szCs w:val="24"/>
        </w:rPr>
        <w:t xml:space="preserve"> Environmental Protection Act of 1994 and the Environmental Assessment Regulations (EAR) of 1999 require disturbed land by mining companies to be rehabilitated as per approved closure plan. Mining companies are required to post a rehabilitation bond for environmental reclamation before commencement of mining activities. As of 2003, a total amount of USD 3 million was posted by mining companies to the Ghanaian Government as rehabilitation bonds. </w:t>
      </w:r>
    </w:p>
    <w:p w:rsidR="004520FD" w:rsidRPr="004A76D7" w:rsidRDefault="00117089" w:rsidP="000E7DFC">
      <w:pPr>
        <w:spacing w:before="60"/>
        <w:jc w:val="both"/>
        <w:rPr>
          <w:rFonts w:ascii="Rockwell" w:eastAsia="Rockwell" w:hAnsi="Rockwell" w:cs="Rockwell"/>
          <w:sz w:val="24"/>
          <w:szCs w:val="24"/>
        </w:rPr>
      </w:pPr>
      <w:r>
        <w:rPr>
          <w:rFonts w:ascii="Rockwell" w:eastAsia="Rockwell" w:hAnsi="Rockwell" w:cs="Rockwell"/>
          <w:sz w:val="24"/>
          <w:szCs w:val="24"/>
        </w:rPr>
        <w:t>For instance</w:t>
      </w:r>
      <w:r w:rsidR="00870C6F">
        <w:rPr>
          <w:rFonts w:ascii="Rockwell" w:eastAsia="Rockwell" w:hAnsi="Rockwell" w:cs="Rockwell"/>
          <w:sz w:val="24"/>
          <w:szCs w:val="24"/>
        </w:rPr>
        <w:t xml:space="preserve">, </w:t>
      </w:r>
      <w:r w:rsidR="00870C6F" w:rsidRPr="000E7DFC">
        <w:rPr>
          <w:rFonts w:ascii="Rockwell" w:eastAsia="Times New Roman" w:hAnsi="Rockwell"/>
          <w:color w:val="2F2F2F"/>
          <w:sz w:val="24"/>
          <w:szCs w:val="24"/>
        </w:rPr>
        <w:t>Resolute</w:t>
      </w:r>
      <w:r w:rsidR="00870C6F">
        <w:rPr>
          <w:rFonts w:ascii="Rockwell" w:eastAsia="Times New Roman" w:hAnsi="Rockwell"/>
          <w:color w:val="2F2F2F"/>
          <w:sz w:val="24"/>
          <w:szCs w:val="24"/>
        </w:rPr>
        <w:t xml:space="preserve"> </w:t>
      </w:r>
      <w:r w:rsidR="00870C6F" w:rsidRPr="004A76D7">
        <w:rPr>
          <w:rFonts w:ascii="Rockwell" w:eastAsia="Rockwell" w:hAnsi="Rockwell" w:cs="Rockwell"/>
          <w:sz w:val="24"/>
          <w:szCs w:val="24"/>
        </w:rPr>
        <w:t>Mining Company Limited</w:t>
      </w:r>
      <w:r w:rsidR="00870C6F">
        <w:rPr>
          <w:rFonts w:ascii="Rockwell" w:eastAsia="Rockwell" w:hAnsi="Rockwell" w:cs="Rockwell"/>
          <w:sz w:val="24"/>
          <w:szCs w:val="24"/>
        </w:rPr>
        <w:t xml:space="preserve"> of Australia</w:t>
      </w:r>
      <w:r w:rsidR="00870C6F" w:rsidRPr="000E7DFC">
        <w:rPr>
          <w:rFonts w:ascii="Rockwell" w:eastAsia="Times New Roman" w:hAnsi="Rockwell"/>
          <w:color w:val="2F2F2F"/>
          <w:sz w:val="24"/>
          <w:szCs w:val="24"/>
        </w:rPr>
        <w:t xml:space="preserve"> </w:t>
      </w:r>
      <w:r w:rsidR="00870C6F">
        <w:rPr>
          <w:rFonts w:ascii="Rockwell" w:eastAsia="Times New Roman" w:hAnsi="Rockwell"/>
          <w:color w:val="2F2F2F"/>
          <w:sz w:val="24"/>
          <w:szCs w:val="24"/>
        </w:rPr>
        <w:t xml:space="preserve">which </w:t>
      </w:r>
      <w:r w:rsidR="00870C6F">
        <w:rPr>
          <w:rFonts w:ascii="Rockwell" w:eastAsia="Rockwell" w:hAnsi="Rockwell" w:cs="Rockwell"/>
          <w:sz w:val="24"/>
          <w:szCs w:val="24"/>
        </w:rPr>
        <w:t xml:space="preserve">operated </w:t>
      </w:r>
      <w:r w:rsidR="00870C6F" w:rsidRPr="004A76D7">
        <w:rPr>
          <w:rFonts w:ascii="Rockwell" w:eastAsia="Rockwell" w:hAnsi="Rockwell" w:cs="Rockwell"/>
          <w:sz w:val="24"/>
          <w:szCs w:val="24"/>
        </w:rPr>
        <w:t xml:space="preserve">the </w:t>
      </w:r>
      <w:proofErr w:type="spellStart"/>
      <w:r w:rsidR="00870C6F" w:rsidRPr="004A76D7">
        <w:rPr>
          <w:rFonts w:ascii="Rockwell" w:eastAsia="Rockwell" w:hAnsi="Rockwell" w:cs="Rockwell"/>
          <w:sz w:val="24"/>
          <w:szCs w:val="24"/>
        </w:rPr>
        <w:t>Obotan</w:t>
      </w:r>
      <w:proofErr w:type="spellEnd"/>
      <w:r w:rsidR="00870C6F" w:rsidRPr="004A76D7">
        <w:rPr>
          <w:rFonts w:ascii="Rockwell" w:eastAsia="Rockwell" w:hAnsi="Rockwell" w:cs="Rockwell"/>
          <w:sz w:val="24"/>
          <w:szCs w:val="24"/>
        </w:rPr>
        <w:t xml:space="preserve"> Gold Mine</w:t>
      </w:r>
      <w:r w:rsidR="00870C6F" w:rsidRPr="000E7DFC">
        <w:rPr>
          <w:rFonts w:ascii="Rockwell" w:eastAsia="Times New Roman" w:hAnsi="Rockwell"/>
          <w:color w:val="2F2F2F"/>
          <w:sz w:val="24"/>
          <w:szCs w:val="24"/>
        </w:rPr>
        <w:t xml:space="preserve"> </w:t>
      </w:r>
      <w:r w:rsidR="00870C6F">
        <w:rPr>
          <w:rFonts w:ascii="Rockwell" w:eastAsia="Times New Roman" w:hAnsi="Rockwell"/>
          <w:color w:val="2F2F2F"/>
          <w:sz w:val="24"/>
          <w:szCs w:val="24"/>
        </w:rPr>
        <w:t xml:space="preserve">in Ghana </w:t>
      </w:r>
      <w:r w:rsidR="00870C6F" w:rsidRPr="000E7DFC">
        <w:rPr>
          <w:rFonts w:ascii="Rockwell" w:eastAsia="Times New Roman" w:hAnsi="Rockwell"/>
          <w:color w:val="2F2F2F"/>
          <w:sz w:val="24"/>
          <w:szCs w:val="24"/>
        </w:rPr>
        <w:t xml:space="preserve">signed a Reclamation Security Agreement in 2001 with the Ghana Environmental Protection Agency and posted a rehabilitation bond against the reclamation. </w:t>
      </w:r>
      <w:r w:rsidR="00870C6F">
        <w:rPr>
          <w:rFonts w:ascii="Rockwell" w:eastAsia="Times New Roman" w:hAnsi="Rockwell"/>
          <w:color w:val="2F2F2F"/>
          <w:sz w:val="24"/>
          <w:szCs w:val="24"/>
        </w:rPr>
        <w:t xml:space="preserve">The </w:t>
      </w:r>
      <w:r w:rsidR="004520FD" w:rsidRPr="004A76D7">
        <w:rPr>
          <w:rFonts w:ascii="Rockwell" w:eastAsia="Rockwell" w:hAnsi="Rockwell" w:cs="Rockwell"/>
          <w:sz w:val="24"/>
          <w:szCs w:val="24"/>
        </w:rPr>
        <w:t>Mining Company</w:t>
      </w:r>
      <w:r w:rsidR="00870C6F">
        <w:rPr>
          <w:rFonts w:ascii="Rockwell" w:eastAsia="Rockwell" w:hAnsi="Rockwell" w:cs="Rockwell"/>
          <w:sz w:val="24"/>
          <w:szCs w:val="24"/>
        </w:rPr>
        <w:t xml:space="preserve"> </w:t>
      </w:r>
      <w:r w:rsidR="004520FD" w:rsidRPr="004A76D7">
        <w:rPr>
          <w:rFonts w:ascii="Rockwell" w:eastAsia="Rockwell" w:hAnsi="Rockwell" w:cs="Rockwell"/>
          <w:sz w:val="24"/>
          <w:szCs w:val="24"/>
        </w:rPr>
        <w:t>was closed in 2005</w:t>
      </w:r>
      <w:r w:rsidR="00870C6F">
        <w:rPr>
          <w:rFonts w:ascii="Rockwell" w:eastAsia="Rockwell" w:hAnsi="Rockwell" w:cs="Rockwell"/>
          <w:sz w:val="24"/>
          <w:szCs w:val="24"/>
        </w:rPr>
        <w:t xml:space="preserve"> due to low gold prices after </w:t>
      </w:r>
      <w:r w:rsidR="004520FD" w:rsidRPr="004A76D7">
        <w:rPr>
          <w:rFonts w:ascii="Rockwell" w:eastAsia="Rockwell" w:hAnsi="Rockwell" w:cs="Rockwell"/>
          <w:sz w:val="24"/>
          <w:szCs w:val="24"/>
        </w:rPr>
        <w:t>produ</w:t>
      </w:r>
      <w:r w:rsidR="00870C6F">
        <w:rPr>
          <w:rFonts w:ascii="Rockwell" w:eastAsia="Rockwell" w:hAnsi="Rockwell" w:cs="Rockwell"/>
          <w:sz w:val="24"/>
          <w:szCs w:val="24"/>
        </w:rPr>
        <w:t xml:space="preserve">cing 730,000 troy ounces of gold. </w:t>
      </w:r>
      <w:r w:rsidR="004520FD" w:rsidRPr="000E7DFC">
        <w:rPr>
          <w:rFonts w:ascii="Rockwell" w:eastAsia="Times New Roman" w:hAnsi="Rockwell"/>
          <w:color w:val="2F2F2F"/>
          <w:sz w:val="24"/>
          <w:szCs w:val="24"/>
        </w:rPr>
        <w:t xml:space="preserve">Pursuant to the </w:t>
      </w:r>
      <w:r w:rsidR="00710334" w:rsidRPr="000E7DFC">
        <w:rPr>
          <w:rFonts w:ascii="Rockwell" w:eastAsia="Times New Roman" w:hAnsi="Rockwell"/>
          <w:color w:val="2F2F2F"/>
          <w:sz w:val="24"/>
          <w:szCs w:val="24"/>
        </w:rPr>
        <w:t xml:space="preserve">EAR </w:t>
      </w:r>
      <w:r w:rsidR="00710334">
        <w:rPr>
          <w:rFonts w:ascii="Rockwell" w:eastAsia="Times New Roman" w:hAnsi="Rockwell"/>
          <w:color w:val="2F2F2F"/>
          <w:sz w:val="24"/>
          <w:szCs w:val="24"/>
        </w:rPr>
        <w:t>Regulations, t</w:t>
      </w:r>
      <w:r w:rsidR="004520FD" w:rsidRPr="000E7DFC">
        <w:rPr>
          <w:rFonts w:ascii="Rockwell" w:eastAsia="Times New Roman" w:hAnsi="Rockwell"/>
          <w:color w:val="2F2F2F"/>
          <w:sz w:val="24"/>
          <w:szCs w:val="24"/>
        </w:rPr>
        <w:t xml:space="preserve">he </w:t>
      </w:r>
      <w:proofErr w:type="spellStart"/>
      <w:r w:rsidR="004520FD" w:rsidRPr="000E7DFC">
        <w:rPr>
          <w:rFonts w:ascii="Rockwell" w:eastAsia="Times New Roman" w:hAnsi="Rockwell"/>
          <w:color w:val="2F2F2F"/>
          <w:sz w:val="24"/>
          <w:szCs w:val="24"/>
        </w:rPr>
        <w:t>Obotan</w:t>
      </w:r>
      <w:proofErr w:type="spellEnd"/>
      <w:r w:rsidR="004520FD" w:rsidRPr="000E7DFC">
        <w:rPr>
          <w:rFonts w:ascii="Rockwell" w:eastAsia="Times New Roman" w:hAnsi="Rockwell"/>
          <w:color w:val="2F2F2F"/>
          <w:sz w:val="24"/>
          <w:szCs w:val="24"/>
        </w:rPr>
        <w:t xml:space="preserve"> Gold Mine was successfully rehabilitated by the operator. The rehabilitation bond was released to the operator </w:t>
      </w:r>
      <w:r w:rsidR="00710334">
        <w:rPr>
          <w:rFonts w:ascii="Rockwell" w:eastAsia="Times New Roman" w:hAnsi="Rockwell"/>
          <w:color w:val="2F2F2F"/>
          <w:sz w:val="24"/>
          <w:szCs w:val="24"/>
        </w:rPr>
        <w:t xml:space="preserve">upon the completion and successful rehabilitation </w:t>
      </w:r>
      <w:r w:rsidR="004520FD" w:rsidRPr="000E7DFC">
        <w:rPr>
          <w:rFonts w:ascii="Rockwell" w:eastAsia="Times New Roman" w:hAnsi="Rockwell"/>
          <w:color w:val="2F2F2F"/>
          <w:sz w:val="24"/>
          <w:szCs w:val="24"/>
        </w:rPr>
        <w:t>of the site</w:t>
      </w:r>
      <w:r w:rsidR="00710334">
        <w:rPr>
          <w:rFonts w:ascii="Rockwell" w:eastAsia="Times New Roman" w:hAnsi="Rockwell"/>
          <w:color w:val="2F2F2F"/>
          <w:sz w:val="24"/>
          <w:szCs w:val="24"/>
        </w:rPr>
        <w:t xml:space="preserve">. </w:t>
      </w:r>
    </w:p>
    <w:p w:rsidR="00710334" w:rsidRDefault="00710334" w:rsidP="000E7DFC">
      <w:pPr>
        <w:shd w:val="clear" w:color="auto" w:fill="FFFFFF"/>
        <w:spacing w:before="450" w:after="450"/>
        <w:jc w:val="both"/>
        <w:textAlignment w:val="baseline"/>
        <w:rPr>
          <w:rFonts w:ascii="Rockwell" w:eastAsia="Times New Roman" w:hAnsi="Rockwell"/>
          <w:b/>
          <w:color w:val="2F2F2F"/>
          <w:sz w:val="24"/>
          <w:szCs w:val="24"/>
        </w:rPr>
      </w:pPr>
      <w:r>
        <w:rPr>
          <w:rFonts w:ascii="Rockwell" w:eastAsia="Times New Roman" w:hAnsi="Rockwell"/>
          <w:b/>
          <w:color w:val="2F2F2F"/>
          <w:sz w:val="24"/>
          <w:szCs w:val="24"/>
        </w:rPr>
        <w:t xml:space="preserve">2.2.7 </w:t>
      </w:r>
      <w:r w:rsidR="004520FD" w:rsidRPr="004A76D7">
        <w:rPr>
          <w:rFonts w:ascii="Rockwell" w:eastAsia="Times New Roman" w:hAnsi="Rockwell"/>
          <w:b/>
          <w:color w:val="2F2F2F"/>
          <w:sz w:val="24"/>
          <w:szCs w:val="24"/>
        </w:rPr>
        <w:t>China,</w:t>
      </w:r>
    </w:p>
    <w:p w:rsidR="004520FD" w:rsidRPr="00710334" w:rsidRDefault="004520FD" w:rsidP="000E7DFC">
      <w:pPr>
        <w:shd w:val="clear" w:color="auto" w:fill="FFFFFF"/>
        <w:spacing w:before="450" w:after="450"/>
        <w:jc w:val="both"/>
        <w:textAlignment w:val="baseline"/>
        <w:rPr>
          <w:rFonts w:ascii="Rockwell" w:eastAsia="Times New Roman" w:hAnsi="Rockwell"/>
          <w:b/>
          <w:color w:val="2F2F2F"/>
          <w:sz w:val="24"/>
          <w:szCs w:val="24"/>
        </w:rPr>
      </w:pPr>
      <w:r w:rsidRPr="004A76D7">
        <w:rPr>
          <w:rFonts w:ascii="Rockwell" w:eastAsia="Times New Roman" w:hAnsi="Rockwell"/>
          <w:color w:val="2F2F2F"/>
          <w:sz w:val="24"/>
          <w:szCs w:val="24"/>
        </w:rPr>
        <w:t>The Mineral Resources Law (“MRL”) is the national law governing the prospection for and extraction from mines and the registration of mining rights.  The MRL was promulgated by the Standing Committee of the National People’s Congress on 19</w:t>
      </w:r>
      <w:r w:rsidRPr="004A76D7">
        <w:rPr>
          <w:rFonts w:ascii="Rockwell" w:eastAsia="Times New Roman" w:hAnsi="Rockwell"/>
          <w:color w:val="2F2F2F"/>
          <w:sz w:val="24"/>
          <w:szCs w:val="24"/>
          <w:vertAlign w:val="superscript"/>
        </w:rPr>
        <w:t>th</w:t>
      </w:r>
      <w:r w:rsidRPr="004A76D7">
        <w:rPr>
          <w:rFonts w:ascii="Rockwell" w:eastAsia="Times New Roman" w:hAnsi="Rockwell"/>
          <w:color w:val="2F2F2F"/>
          <w:sz w:val="24"/>
          <w:szCs w:val="24"/>
        </w:rPr>
        <w:t xml:space="preserve"> March, 1986 and amended in 1996 and 2009. The Ministry of Natural Resources </w:t>
      </w:r>
      <w:r w:rsidRPr="004A76D7">
        <w:rPr>
          <w:rFonts w:ascii="Rockwell" w:eastAsia="Times New Roman" w:hAnsi="Rockwell"/>
          <w:color w:val="2F2F2F"/>
          <w:sz w:val="24"/>
          <w:szCs w:val="24"/>
        </w:rPr>
        <w:lastRenderedPageBreak/>
        <w:t>(“MNR”) and its local bureaus are the primary governmental bodies administering the mining industry, together with other ministries and departments that regulate other aspects of the industry.  For example, the Ministry of Ecology and Environment (“MEE”) is responsible for environmental protection, and the Ministry of Commerce is responsible for regulating the import and export of mineral products.</w:t>
      </w:r>
    </w:p>
    <w:p w:rsidR="004520FD" w:rsidRPr="004A76D7" w:rsidRDefault="004520FD" w:rsidP="000E7DFC">
      <w:pPr>
        <w:shd w:val="clear" w:color="auto" w:fill="FFFFFF"/>
        <w:spacing w:before="450" w:after="450"/>
        <w:jc w:val="both"/>
        <w:textAlignment w:val="baseline"/>
        <w:rPr>
          <w:rFonts w:ascii="Rockwell" w:eastAsia="Times New Roman" w:hAnsi="Rockwell"/>
          <w:color w:val="2F2F2F"/>
          <w:sz w:val="24"/>
          <w:szCs w:val="24"/>
        </w:rPr>
      </w:pPr>
      <w:r w:rsidRPr="004A76D7">
        <w:rPr>
          <w:rFonts w:ascii="Rockwell" w:eastAsia="Times New Roman" w:hAnsi="Rockwell"/>
          <w:color w:val="2F2F2F"/>
          <w:sz w:val="24"/>
          <w:szCs w:val="24"/>
        </w:rPr>
        <w:t xml:space="preserve">Other sources of law affecting the mining industry include rules, regulations and guidelines issued by: the State Council, such as the Measures for the Administration of Transfer of Mineral Exploration Rights and Mining Rights; the local People’s Congresses and their standing committees at various governmental levels. </w:t>
      </w:r>
    </w:p>
    <w:p w:rsidR="004520FD" w:rsidRPr="004A76D7" w:rsidRDefault="004520FD" w:rsidP="000E7DFC">
      <w:pPr>
        <w:shd w:val="clear" w:color="auto" w:fill="FFFFFF"/>
        <w:spacing w:before="450"/>
        <w:jc w:val="both"/>
        <w:textAlignment w:val="baseline"/>
        <w:rPr>
          <w:rFonts w:ascii="Rockwell" w:eastAsia="Times New Roman" w:hAnsi="Rockwell"/>
          <w:color w:val="2F2F2F"/>
          <w:sz w:val="24"/>
          <w:szCs w:val="24"/>
        </w:rPr>
      </w:pPr>
      <w:r w:rsidRPr="004A76D7">
        <w:rPr>
          <w:rFonts w:ascii="Rockwell" w:eastAsia="Times New Roman" w:hAnsi="Rockwell"/>
          <w:color w:val="2F2F2F"/>
          <w:sz w:val="24"/>
          <w:szCs w:val="24"/>
        </w:rPr>
        <w:t>On policy reforms, the Ministry of Natural Resources, the Ministry of Ecology and Environment, the Ministry of Finance, the State Administration for Market Regulation, the State Financial Supervision and Administration, the China Securities Regulatory Commission, and the State Forestry and Grassland Administration jointly issued the “Notice on Further Strengthening the Construction of Green Mines” (the “Green Mine Notice”).  The theme of the Green Mine Notice is promoting green mine construction nationwide and accelerating the development of a low-carbon, eco-friendly mining industry.</w:t>
      </w:r>
    </w:p>
    <w:p w:rsidR="004520FD" w:rsidRPr="004A76D7" w:rsidRDefault="004520FD" w:rsidP="000E7DFC">
      <w:pPr>
        <w:shd w:val="clear" w:color="auto" w:fill="FFFFFF"/>
        <w:spacing w:before="450"/>
        <w:jc w:val="both"/>
        <w:textAlignment w:val="baseline"/>
        <w:rPr>
          <w:rFonts w:ascii="Rockwell" w:eastAsia="Times New Roman" w:hAnsi="Rockwell"/>
          <w:color w:val="2F2F2F"/>
          <w:sz w:val="24"/>
          <w:szCs w:val="24"/>
        </w:rPr>
      </w:pPr>
      <w:r w:rsidRPr="004A76D7">
        <w:rPr>
          <w:rFonts w:ascii="Rockwell" w:eastAsia="Times New Roman" w:hAnsi="Rockwell"/>
          <w:color w:val="2F2F2F"/>
          <w:sz w:val="24"/>
          <w:szCs w:val="24"/>
        </w:rPr>
        <w:t xml:space="preserve">On civil liabilities a mining company </w:t>
      </w:r>
      <w:r w:rsidRPr="004A76D7">
        <w:rPr>
          <w:rFonts w:ascii="Rockwell" w:eastAsia="Times New Roman" w:hAnsi="Rockwell"/>
          <w:color w:val="2F2F2F"/>
          <w:sz w:val="24"/>
          <w:szCs w:val="24"/>
          <w:highlight w:val="yellow"/>
        </w:rPr>
        <w:t>is subject to monetary damages</w:t>
      </w:r>
      <w:r w:rsidRPr="004A76D7">
        <w:rPr>
          <w:rFonts w:ascii="Rockwell" w:eastAsia="Times New Roman" w:hAnsi="Rockwell"/>
          <w:color w:val="2F2F2F"/>
          <w:sz w:val="24"/>
          <w:szCs w:val="24"/>
        </w:rPr>
        <w:t xml:space="preserve"> for property losses and personal injuries caused by their mining activities.  In addition, courts can award specific performance as damages and order a mining company to restore the ecology of the mining sites to its original state. A criminal liability also applies if a mining company violates national environmental regulations and fails to take remedial measures, resulting in serious environmental pollution accidents.  If this materializes, certain persons in the company may be held criminally liable, including but not limited to fines and imprisonment.</w:t>
      </w:r>
    </w:p>
    <w:p w:rsidR="004520FD" w:rsidRPr="004A76D7" w:rsidRDefault="004520FD" w:rsidP="000E7DFC">
      <w:pPr>
        <w:jc w:val="both"/>
        <w:rPr>
          <w:rFonts w:ascii="Rockwell" w:hAnsi="Rockwell"/>
          <w:sz w:val="24"/>
          <w:szCs w:val="24"/>
        </w:rPr>
      </w:pPr>
    </w:p>
    <w:p w:rsidR="006822F2" w:rsidRDefault="006822F2" w:rsidP="000E7DFC">
      <w:pPr>
        <w:spacing w:before="240"/>
        <w:jc w:val="both"/>
        <w:rPr>
          <w:rFonts w:ascii="Rockwell" w:eastAsia="Times New Roman" w:hAnsi="Rockwell" w:cs="Times New Roman"/>
          <w:b/>
          <w:sz w:val="24"/>
          <w:szCs w:val="24"/>
        </w:rPr>
      </w:pPr>
    </w:p>
    <w:p w:rsidR="000E7DFC" w:rsidRDefault="000E7DFC" w:rsidP="000E7DFC">
      <w:pPr>
        <w:spacing w:before="240"/>
        <w:jc w:val="both"/>
        <w:rPr>
          <w:rFonts w:ascii="Rockwell" w:eastAsia="Times New Roman" w:hAnsi="Rockwell" w:cs="Times New Roman"/>
          <w:b/>
          <w:sz w:val="24"/>
          <w:szCs w:val="24"/>
        </w:rPr>
      </w:pPr>
    </w:p>
    <w:p w:rsidR="006C1DB4" w:rsidRDefault="006C1DB4" w:rsidP="000E7DFC">
      <w:pPr>
        <w:spacing w:before="240"/>
        <w:jc w:val="both"/>
        <w:rPr>
          <w:rFonts w:ascii="Rockwell" w:eastAsia="Times New Roman" w:hAnsi="Rockwell" w:cs="Times New Roman"/>
          <w:b/>
          <w:sz w:val="24"/>
          <w:szCs w:val="24"/>
        </w:rPr>
      </w:pPr>
    </w:p>
    <w:p w:rsidR="006C1DB4" w:rsidRDefault="006C1DB4" w:rsidP="000E7DFC">
      <w:pPr>
        <w:spacing w:before="240"/>
        <w:jc w:val="both"/>
        <w:rPr>
          <w:rFonts w:ascii="Rockwell" w:eastAsia="Times New Roman" w:hAnsi="Rockwell" w:cs="Times New Roman"/>
          <w:b/>
          <w:sz w:val="24"/>
          <w:szCs w:val="24"/>
        </w:rPr>
      </w:pPr>
    </w:p>
    <w:p w:rsidR="006C1DB4" w:rsidRDefault="006C1DB4" w:rsidP="000E7DFC">
      <w:pPr>
        <w:spacing w:before="240"/>
        <w:jc w:val="both"/>
        <w:rPr>
          <w:rFonts w:ascii="Rockwell" w:eastAsia="Times New Roman" w:hAnsi="Rockwell" w:cs="Times New Roman"/>
          <w:b/>
          <w:sz w:val="24"/>
          <w:szCs w:val="24"/>
        </w:rPr>
      </w:pPr>
    </w:p>
    <w:p w:rsidR="006C1DB4" w:rsidRDefault="006C1DB4" w:rsidP="000E7DFC">
      <w:pPr>
        <w:spacing w:before="240"/>
        <w:jc w:val="both"/>
        <w:rPr>
          <w:rFonts w:ascii="Rockwell" w:eastAsia="Times New Roman" w:hAnsi="Rockwell" w:cs="Times New Roman"/>
          <w:b/>
          <w:sz w:val="24"/>
          <w:szCs w:val="24"/>
        </w:rPr>
      </w:pPr>
    </w:p>
    <w:p w:rsidR="006C1DB4" w:rsidRDefault="006C1DB4" w:rsidP="000E7DFC">
      <w:pPr>
        <w:spacing w:before="240"/>
        <w:jc w:val="both"/>
        <w:rPr>
          <w:rFonts w:ascii="Rockwell" w:eastAsia="Times New Roman" w:hAnsi="Rockwell" w:cs="Times New Roman"/>
          <w:b/>
          <w:sz w:val="24"/>
          <w:szCs w:val="24"/>
        </w:rPr>
      </w:pPr>
    </w:p>
    <w:p w:rsidR="000E7DFC" w:rsidRDefault="000E7DFC" w:rsidP="000E7DFC">
      <w:pPr>
        <w:spacing w:before="240"/>
        <w:jc w:val="both"/>
        <w:rPr>
          <w:rFonts w:ascii="Rockwell" w:eastAsia="Times New Roman" w:hAnsi="Rockwell" w:cs="Times New Roman"/>
          <w:b/>
          <w:sz w:val="24"/>
          <w:szCs w:val="24"/>
        </w:rPr>
      </w:pPr>
    </w:p>
    <w:p w:rsidR="000E7DFC" w:rsidRDefault="000E7DFC" w:rsidP="000E7DFC">
      <w:pPr>
        <w:spacing w:before="240"/>
        <w:jc w:val="both"/>
        <w:rPr>
          <w:rFonts w:ascii="Rockwell" w:eastAsia="Times New Roman" w:hAnsi="Rockwell" w:cs="Times New Roman"/>
          <w:b/>
          <w:sz w:val="24"/>
          <w:szCs w:val="24"/>
        </w:rPr>
      </w:pPr>
    </w:p>
    <w:p w:rsidR="000E7DFC" w:rsidRDefault="000E7DFC" w:rsidP="000E7DFC">
      <w:pPr>
        <w:spacing w:before="240"/>
        <w:jc w:val="both"/>
        <w:rPr>
          <w:rFonts w:ascii="Rockwell" w:eastAsia="Times New Roman" w:hAnsi="Rockwell" w:cs="Times New Roman"/>
          <w:b/>
          <w:sz w:val="24"/>
          <w:szCs w:val="24"/>
        </w:rPr>
      </w:pPr>
    </w:p>
    <w:p w:rsidR="000E7DFC" w:rsidRDefault="000E7DFC" w:rsidP="000E7DFC">
      <w:pPr>
        <w:spacing w:before="240"/>
        <w:jc w:val="both"/>
        <w:rPr>
          <w:rFonts w:ascii="Rockwell" w:eastAsia="Times New Roman" w:hAnsi="Rockwell" w:cs="Times New Roman"/>
          <w:b/>
          <w:sz w:val="24"/>
          <w:szCs w:val="24"/>
        </w:rPr>
      </w:pPr>
    </w:p>
    <w:p w:rsidR="000E7DFC" w:rsidRDefault="000E7DFC" w:rsidP="000E7DFC">
      <w:pPr>
        <w:spacing w:before="240"/>
        <w:jc w:val="both"/>
        <w:rPr>
          <w:rFonts w:ascii="Rockwell" w:eastAsia="Times New Roman" w:hAnsi="Rockwell" w:cs="Times New Roman"/>
          <w:b/>
          <w:sz w:val="24"/>
          <w:szCs w:val="24"/>
        </w:rPr>
      </w:pPr>
    </w:p>
    <w:p w:rsidR="006822F2" w:rsidRPr="004A76D7" w:rsidRDefault="006B33C9" w:rsidP="000E7DFC">
      <w:pPr>
        <w:pStyle w:val="Heading1"/>
        <w:jc w:val="both"/>
        <w:rPr>
          <w:rFonts w:ascii="Rockwell" w:eastAsia="Times New Roman" w:hAnsi="Rockwell" w:cs="Times New Roman"/>
          <w:sz w:val="24"/>
          <w:szCs w:val="24"/>
        </w:rPr>
      </w:pPr>
      <w:bookmarkStart w:id="15" w:name="_Toc209047102"/>
      <w:r w:rsidRPr="004A76D7">
        <w:rPr>
          <w:rFonts w:ascii="Rockwell" w:eastAsia="Times New Roman" w:hAnsi="Rockwell" w:cs="Times New Roman"/>
          <w:b/>
          <w:sz w:val="24"/>
          <w:szCs w:val="24"/>
        </w:rPr>
        <w:t xml:space="preserve">Chapter Three: </w:t>
      </w:r>
      <w:r w:rsidR="00D43FD2">
        <w:rPr>
          <w:rFonts w:ascii="Rockwell" w:eastAsia="Times New Roman" w:hAnsi="Rockwell" w:cs="Times New Roman"/>
          <w:b/>
          <w:sz w:val="24"/>
          <w:szCs w:val="24"/>
        </w:rPr>
        <w:t>Determination</w:t>
      </w:r>
      <w:r w:rsidRPr="004A76D7">
        <w:rPr>
          <w:rFonts w:ascii="Rockwell" w:eastAsia="Times New Roman" w:hAnsi="Rockwell" w:cs="Times New Roman"/>
          <w:b/>
          <w:sz w:val="24"/>
          <w:szCs w:val="24"/>
        </w:rPr>
        <w:t xml:space="preserve"> and Manag</w:t>
      </w:r>
      <w:r w:rsidR="00D43FD2">
        <w:rPr>
          <w:rFonts w:ascii="Rockwell" w:eastAsia="Times New Roman" w:hAnsi="Rockwell" w:cs="Times New Roman"/>
          <w:b/>
          <w:sz w:val="24"/>
          <w:szCs w:val="24"/>
        </w:rPr>
        <w:t xml:space="preserve">ement of </w:t>
      </w:r>
      <w:r w:rsidRPr="004A76D7">
        <w:rPr>
          <w:rFonts w:ascii="Rockwell" w:eastAsia="Times New Roman" w:hAnsi="Rockwell" w:cs="Times New Roman"/>
          <w:b/>
          <w:sz w:val="24"/>
          <w:szCs w:val="24"/>
        </w:rPr>
        <w:t>the Environmental Deposit Bonds</w:t>
      </w:r>
      <w:bookmarkEnd w:id="15"/>
      <w:r w:rsidRPr="004A76D7">
        <w:rPr>
          <w:rFonts w:ascii="Rockwell" w:eastAsia="Times New Roman" w:hAnsi="Rockwell" w:cs="Times New Roman"/>
          <w:b/>
          <w:sz w:val="24"/>
          <w:szCs w:val="24"/>
        </w:rPr>
        <w:t xml:space="preserve">  </w:t>
      </w:r>
      <w:r w:rsidRPr="004A76D7">
        <w:rPr>
          <w:rFonts w:ascii="Rockwell" w:eastAsia="Times New Roman" w:hAnsi="Rockwell" w:cs="Times New Roman"/>
          <w:sz w:val="24"/>
          <w:szCs w:val="24"/>
        </w:rPr>
        <w:t xml:space="preserve">  </w:t>
      </w:r>
    </w:p>
    <w:p w:rsidR="006822F2" w:rsidRPr="004A76D7" w:rsidRDefault="00AD5D8B" w:rsidP="000E7DFC">
      <w:pPr>
        <w:spacing w:before="60" w:after="240"/>
        <w:ind w:right="4"/>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This chapter highlights the </w:t>
      </w:r>
      <w:r w:rsidR="00117089">
        <w:rPr>
          <w:rFonts w:ascii="Rockwell" w:eastAsia="Times New Roman" w:hAnsi="Rockwell" w:cs="Times New Roman"/>
          <w:sz w:val="24"/>
          <w:szCs w:val="24"/>
        </w:rPr>
        <w:t>management of the deposit bonds</w:t>
      </w:r>
      <w:r w:rsidR="00677881">
        <w:rPr>
          <w:rFonts w:ascii="Rockwell" w:eastAsia="Times New Roman" w:hAnsi="Rockwell" w:cs="Times New Roman"/>
          <w:sz w:val="24"/>
          <w:szCs w:val="24"/>
        </w:rPr>
        <w:t>; the deposit bonds assessment, initial bond determination</w:t>
      </w:r>
      <w:r w:rsidRPr="004A76D7">
        <w:rPr>
          <w:rFonts w:ascii="Rockwell" w:eastAsia="Times New Roman" w:hAnsi="Rockwell" w:cs="Times New Roman"/>
          <w:sz w:val="24"/>
          <w:szCs w:val="24"/>
        </w:rPr>
        <w:t xml:space="preserve">, </w:t>
      </w:r>
      <w:r w:rsidR="00677881">
        <w:rPr>
          <w:rFonts w:ascii="Rockwell" w:eastAsia="Times New Roman" w:hAnsi="Rockwell" w:cs="Times New Roman"/>
          <w:sz w:val="24"/>
          <w:szCs w:val="24"/>
        </w:rPr>
        <w:t>review of the assessment report,</w:t>
      </w:r>
      <w:r w:rsidRPr="004A76D7">
        <w:rPr>
          <w:rFonts w:ascii="Rockwell" w:eastAsia="Times New Roman" w:hAnsi="Rockwell" w:cs="Times New Roman"/>
          <w:sz w:val="24"/>
          <w:szCs w:val="24"/>
        </w:rPr>
        <w:t xml:space="preserve"> </w:t>
      </w:r>
      <w:r w:rsidR="00D43FD2">
        <w:rPr>
          <w:rFonts w:ascii="Rockwell" w:eastAsia="Times New Roman" w:hAnsi="Rockwell" w:cs="Times New Roman"/>
          <w:sz w:val="24"/>
          <w:szCs w:val="24"/>
        </w:rPr>
        <w:t xml:space="preserve">reassessment of the deposit bond payable, review of the deposit bond payable, </w:t>
      </w:r>
      <w:r w:rsidR="00D43FD2" w:rsidRPr="004A76D7">
        <w:rPr>
          <w:rFonts w:ascii="Rockwell" w:eastAsia="Times New Roman" w:hAnsi="Rockwell" w:cs="Times New Roman"/>
          <w:sz w:val="24"/>
          <w:szCs w:val="24"/>
        </w:rPr>
        <w:t>bonds refunds</w:t>
      </w:r>
      <w:r w:rsidR="00D43FD2">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co</w:t>
      </w:r>
      <w:r w:rsidR="00D43FD2">
        <w:rPr>
          <w:rFonts w:ascii="Rockwell" w:eastAsia="Times New Roman" w:hAnsi="Rockwell" w:cs="Times New Roman"/>
          <w:sz w:val="24"/>
          <w:szCs w:val="24"/>
        </w:rPr>
        <w:t xml:space="preserve">nfiscation of the deposit bonds </w:t>
      </w:r>
      <w:r w:rsidRPr="004A76D7">
        <w:rPr>
          <w:rFonts w:ascii="Rockwell" w:eastAsia="Times New Roman" w:hAnsi="Rockwell" w:cs="Times New Roman"/>
          <w:sz w:val="24"/>
          <w:szCs w:val="24"/>
        </w:rPr>
        <w:t xml:space="preserve">and </w:t>
      </w:r>
      <w:r w:rsidR="00D43FD2">
        <w:rPr>
          <w:rFonts w:ascii="Rockwell" w:eastAsia="Times New Roman" w:hAnsi="Rockwell" w:cs="Times New Roman"/>
          <w:sz w:val="24"/>
          <w:szCs w:val="24"/>
        </w:rPr>
        <w:t>appeals</w:t>
      </w:r>
      <w:r w:rsidRPr="004A76D7">
        <w:rPr>
          <w:rFonts w:ascii="Rockwell" w:eastAsia="Times New Roman" w:hAnsi="Rockwell" w:cs="Times New Roman"/>
          <w:sz w:val="24"/>
          <w:szCs w:val="24"/>
        </w:rPr>
        <w:t xml:space="preserve">. </w:t>
      </w:r>
    </w:p>
    <w:p w:rsidR="006822F2" w:rsidRPr="004A76D7" w:rsidRDefault="00AD5D8B" w:rsidP="000E7DFC">
      <w:pPr>
        <w:pStyle w:val="Heading1"/>
        <w:jc w:val="both"/>
        <w:rPr>
          <w:rFonts w:ascii="Rockwell" w:eastAsia="Times New Roman" w:hAnsi="Rockwell" w:cs="Times New Roman"/>
          <w:b/>
          <w:sz w:val="24"/>
          <w:szCs w:val="24"/>
        </w:rPr>
      </w:pPr>
      <w:bookmarkStart w:id="16" w:name="_Toc209047103"/>
      <w:r w:rsidRPr="004A76D7">
        <w:rPr>
          <w:rFonts w:ascii="Rockwell" w:eastAsia="Times New Roman" w:hAnsi="Rockwell" w:cs="Times New Roman"/>
          <w:b/>
          <w:sz w:val="24"/>
          <w:szCs w:val="24"/>
        </w:rPr>
        <w:t>3.1 Initial determination based on the Environmental deposit bonds assessment report</w:t>
      </w:r>
      <w:bookmarkEnd w:id="16"/>
    </w:p>
    <w:p w:rsidR="006822F2" w:rsidRPr="004A76D7" w:rsidRDefault="00AD5D8B"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The initial determination </w:t>
      </w:r>
      <w:r w:rsidR="00117089">
        <w:rPr>
          <w:rFonts w:ascii="Rockwell" w:eastAsia="Times New Roman" w:hAnsi="Rockwell" w:cs="Times New Roman"/>
          <w:sz w:val="24"/>
          <w:szCs w:val="24"/>
        </w:rPr>
        <w:t xml:space="preserve">is </w:t>
      </w:r>
      <w:r w:rsidRPr="004A76D7">
        <w:rPr>
          <w:rFonts w:ascii="Rockwell" w:eastAsia="Times New Roman" w:hAnsi="Rockwell" w:cs="Times New Roman"/>
          <w:sz w:val="24"/>
          <w:szCs w:val="24"/>
        </w:rPr>
        <w:t>based on the Environmental D</w:t>
      </w:r>
      <w:r w:rsidR="0008320D">
        <w:rPr>
          <w:rFonts w:ascii="Rockwell" w:eastAsia="Times New Roman" w:hAnsi="Rockwell" w:cs="Times New Roman"/>
          <w:sz w:val="24"/>
          <w:szCs w:val="24"/>
        </w:rPr>
        <w:t>eposit Bonds Assessment Report a</w:t>
      </w:r>
      <w:r w:rsidRPr="004A76D7">
        <w:rPr>
          <w:rFonts w:ascii="Rockwell" w:eastAsia="Times New Roman" w:hAnsi="Rockwell" w:cs="Times New Roman"/>
          <w:sz w:val="24"/>
          <w:szCs w:val="24"/>
        </w:rPr>
        <w:t>s the first step in assessing the adequacy of financial provisions that a company must make to cover the cost of environmental damage or degradation. This process is vital for regulatory bodies, stakeholders, and the environment, as it ensures that companies remain accountable for their environmental impact. The initial determination involves several key factors, including compliance with environmental regulations, accurate financial estimation of liabilities, and the mitigation of future risks.</w:t>
      </w:r>
    </w:p>
    <w:p w:rsidR="00AD5D8B" w:rsidRPr="004A76D7" w:rsidRDefault="00AD5D8B"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The Deposit Bond Assessment Report should be prepared by a competent expert in accordance with terms of reference approved by the Authority.  The deposit bonds assessment report should include the following but not limited to; </w:t>
      </w:r>
    </w:p>
    <w:p w:rsidR="00AD5D8B" w:rsidRPr="004A76D7" w:rsidRDefault="00AD5D8B" w:rsidP="000E7DFC">
      <w:pPr>
        <w:jc w:val="both"/>
        <w:rPr>
          <w:rFonts w:ascii="Rockwell" w:eastAsia="Times New Roman" w:hAnsi="Rockwell" w:cs="Times New Roman"/>
          <w:sz w:val="24"/>
          <w:szCs w:val="24"/>
        </w:rPr>
      </w:pPr>
    </w:p>
    <w:p w:rsidR="006822F2" w:rsidRPr="004A76D7" w:rsidRDefault="00AD5D8B" w:rsidP="000E7DFC">
      <w:pPr>
        <w:numPr>
          <w:ilvl w:val="0"/>
          <w:numId w:val="2"/>
        </w:numPr>
        <w:jc w:val="both"/>
        <w:rPr>
          <w:rFonts w:ascii="Rockwell" w:eastAsia="Times New Roman" w:hAnsi="Rockwell" w:cs="Times New Roman"/>
          <w:sz w:val="24"/>
          <w:szCs w:val="24"/>
        </w:rPr>
      </w:pPr>
      <w:r w:rsidRPr="004A76D7">
        <w:rPr>
          <w:rFonts w:ascii="Rockwell" w:eastAsia="Times New Roman" w:hAnsi="Rockwell" w:cs="Times New Roman"/>
          <w:sz w:val="24"/>
          <w:szCs w:val="24"/>
        </w:rPr>
        <w:t>the proposed location of the project;</w:t>
      </w:r>
    </w:p>
    <w:p w:rsidR="006822F2" w:rsidRPr="004A76D7" w:rsidRDefault="00AD5D8B" w:rsidP="000E7DFC">
      <w:pPr>
        <w:numPr>
          <w:ilvl w:val="0"/>
          <w:numId w:val="2"/>
        </w:numPr>
        <w:jc w:val="both"/>
        <w:rPr>
          <w:rFonts w:ascii="Rockwell" w:eastAsia="Times New Roman" w:hAnsi="Rockwell" w:cs="Times New Roman"/>
          <w:sz w:val="24"/>
          <w:szCs w:val="24"/>
        </w:rPr>
      </w:pPr>
      <w:r w:rsidRPr="004A76D7">
        <w:rPr>
          <w:rFonts w:ascii="Rockwell" w:eastAsia="Times New Roman" w:hAnsi="Rockwell" w:cs="Times New Roman"/>
          <w:sz w:val="24"/>
          <w:szCs w:val="24"/>
        </w:rPr>
        <w:t>site characteristics for a facility in operation;</w:t>
      </w:r>
    </w:p>
    <w:p w:rsidR="006822F2" w:rsidRPr="004A76D7" w:rsidRDefault="00AD5D8B" w:rsidP="000E7DFC">
      <w:pPr>
        <w:numPr>
          <w:ilvl w:val="0"/>
          <w:numId w:val="2"/>
        </w:numPr>
        <w:jc w:val="both"/>
        <w:rPr>
          <w:rFonts w:ascii="Rockwell" w:eastAsia="Times New Roman" w:hAnsi="Rockwell" w:cs="Times New Roman"/>
          <w:sz w:val="24"/>
          <w:szCs w:val="24"/>
        </w:rPr>
      </w:pPr>
      <w:r w:rsidRPr="004A76D7">
        <w:rPr>
          <w:rFonts w:ascii="Rockwell" w:eastAsia="Times New Roman" w:hAnsi="Rockwell" w:cs="Times New Roman"/>
          <w:sz w:val="24"/>
          <w:szCs w:val="24"/>
        </w:rPr>
        <w:t>a clear description of the activities being undertaken at the facility;</w:t>
      </w:r>
    </w:p>
    <w:p w:rsidR="006822F2" w:rsidRPr="004A76D7" w:rsidRDefault="00AD5D8B" w:rsidP="000E7DFC">
      <w:pPr>
        <w:numPr>
          <w:ilvl w:val="0"/>
          <w:numId w:val="2"/>
        </w:numPr>
        <w:jc w:val="both"/>
        <w:rPr>
          <w:rFonts w:ascii="Rockwell" w:eastAsia="Times New Roman" w:hAnsi="Rockwell" w:cs="Times New Roman"/>
          <w:sz w:val="24"/>
          <w:szCs w:val="24"/>
        </w:rPr>
      </w:pPr>
      <w:r w:rsidRPr="004A76D7">
        <w:rPr>
          <w:rFonts w:ascii="Rockwell" w:eastAsia="Times New Roman" w:hAnsi="Rockwell" w:cs="Times New Roman"/>
          <w:sz w:val="24"/>
          <w:szCs w:val="24"/>
        </w:rPr>
        <w:t>evidence of integrated environmental assessment or environmental audit where applicable;</w:t>
      </w:r>
    </w:p>
    <w:p w:rsidR="006822F2" w:rsidRPr="004A76D7" w:rsidRDefault="00AD5D8B" w:rsidP="000E7DFC">
      <w:pPr>
        <w:numPr>
          <w:ilvl w:val="0"/>
          <w:numId w:val="2"/>
        </w:numPr>
        <w:jc w:val="both"/>
        <w:rPr>
          <w:rFonts w:ascii="Rockwell" w:eastAsia="Times New Roman" w:hAnsi="Rockwell" w:cs="Times New Roman"/>
          <w:sz w:val="24"/>
          <w:szCs w:val="24"/>
        </w:rPr>
      </w:pPr>
      <w:r w:rsidRPr="004A76D7">
        <w:rPr>
          <w:rFonts w:ascii="Rockwell" w:eastAsia="Times New Roman" w:hAnsi="Rockwell" w:cs="Times New Roman"/>
          <w:sz w:val="24"/>
          <w:szCs w:val="24"/>
        </w:rPr>
        <w:t>the environmental management systems in place;</w:t>
      </w:r>
    </w:p>
    <w:p w:rsidR="006822F2" w:rsidRPr="004A76D7" w:rsidRDefault="00AD5D8B" w:rsidP="000E7DFC">
      <w:pPr>
        <w:numPr>
          <w:ilvl w:val="0"/>
          <w:numId w:val="2"/>
        </w:numPr>
        <w:jc w:val="both"/>
        <w:rPr>
          <w:rFonts w:ascii="Rockwell" w:eastAsia="Times New Roman" w:hAnsi="Rockwell" w:cs="Times New Roman"/>
          <w:sz w:val="24"/>
          <w:szCs w:val="24"/>
        </w:rPr>
      </w:pPr>
      <w:r w:rsidRPr="004A76D7">
        <w:rPr>
          <w:rFonts w:ascii="Rockwell" w:eastAsia="Times New Roman" w:hAnsi="Rockwell" w:cs="Times New Roman"/>
          <w:sz w:val="24"/>
          <w:szCs w:val="24"/>
        </w:rPr>
        <w:t>the existing environmental levies or other insurance covers that the facility may have;</w:t>
      </w:r>
    </w:p>
    <w:p w:rsidR="006822F2" w:rsidRPr="004A76D7" w:rsidRDefault="00AD5D8B" w:rsidP="000E7DFC">
      <w:pPr>
        <w:numPr>
          <w:ilvl w:val="0"/>
          <w:numId w:val="2"/>
        </w:numPr>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a remediation, post-care and maintenance plan, including the required standards of remediation works, the activities involved, time frame, </w:t>
      </w:r>
      <w:r w:rsidR="005D5F94" w:rsidRPr="004A76D7">
        <w:rPr>
          <w:rFonts w:ascii="Rockwell" w:eastAsia="Times New Roman" w:hAnsi="Rockwell" w:cs="Times New Roman"/>
          <w:sz w:val="24"/>
          <w:szCs w:val="24"/>
        </w:rPr>
        <w:t xml:space="preserve">estimated remediation </w:t>
      </w:r>
      <w:r w:rsidRPr="004A76D7">
        <w:rPr>
          <w:rFonts w:ascii="Rockwell" w:eastAsia="Times New Roman" w:hAnsi="Rockwell" w:cs="Times New Roman"/>
          <w:sz w:val="24"/>
          <w:szCs w:val="24"/>
        </w:rPr>
        <w:t>cost and the monitoring mechanism;</w:t>
      </w:r>
    </w:p>
    <w:p w:rsidR="006822F2" w:rsidRDefault="00AD5D8B" w:rsidP="000E7DFC">
      <w:pPr>
        <w:numPr>
          <w:ilvl w:val="0"/>
          <w:numId w:val="2"/>
        </w:numPr>
        <w:spacing w:after="120"/>
        <w:jc w:val="both"/>
        <w:rPr>
          <w:rFonts w:ascii="Rockwell" w:eastAsia="Times New Roman" w:hAnsi="Rockwell" w:cs="Times New Roman"/>
          <w:sz w:val="24"/>
          <w:szCs w:val="24"/>
        </w:rPr>
      </w:pPr>
      <w:proofErr w:type="gramStart"/>
      <w:r w:rsidRPr="004A76D7">
        <w:rPr>
          <w:rFonts w:ascii="Rockwell" w:eastAsia="Times New Roman" w:hAnsi="Rockwell" w:cs="Times New Roman"/>
          <w:sz w:val="24"/>
          <w:szCs w:val="24"/>
        </w:rPr>
        <w:lastRenderedPageBreak/>
        <w:t>details</w:t>
      </w:r>
      <w:proofErr w:type="gramEnd"/>
      <w:r w:rsidRPr="004A76D7">
        <w:rPr>
          <w:rFonts w:ascii="Rockwell" w:eastAsia="Times New Roman" w:hAnsi="Rockwell" w:cs="Times New Roman"/>
          <w:sz w:val="24"/>
          <w:szCs w:val="24"/>
        </w:rPr>
        <w:t xml:space="preserve"> of the operator or proponent who shall be responsible for the execution and completion of remediation works.</w:t>
      </w:r>
    </w:p>
    <w:p w:rsidR="0008320D" w:rsidRPr="004A76D7" w:rsidRDefault="0008320D" w:rsidP="0008320D">
      <w:pPr>
        <w:spacing w:after="120"/>
        <w:jc w:val="both"/>
        <w:rPr>
          <w:rFonts w:ascii="Rockwell" w:eastAsia="Times New Roman" w:hAnsi="Rockwell" w:cs="Times New Roman"/>
          <w:sz w:val="24"/>
          <w:szCs w:val="24"/>
        </w:rPr>
      </w:pPr>
      <w:r w:rsidRPr="004A76D7">
        <w:rPr>
          <w:rFonts w:ascii="Rockwell" w:eastAsia="Times New Roman" w:hAnsi="Rockwell" w:cs="Times New Roman"/>
          <w:sz w:val="24"/>
          <w:szCs w:val="24"/>
        </w:rPr>
        <w:t>The self-assessment must be documented in accordance wit</w:t>
      </w:r>
      <w:r w:rsidR="00553449">
        <w:rPr>
          <w:rFonts w:ascii="Rockwell" w:eastAsia="Times New Roman" w:hAnsi="Rockwell" w:cs="Times New Roman"/>
          <w:sz w:val="24"/>
          <w:szCs w:val="24"/>
        </w:rPr>
        <w:t>h the methods outlined in the Regulations.</w:t>
      </w:r>
    </w:p>
    <w:p w:rsidR="006822F2" w:rsidRPr="004A76D7" w:rsidRDefault="00AD5D8B" w:rsidP="000E7DFC">
      <w:pPr>
        <w:pStyle w:val="Heading1"/>
        <w:jc w:val="both"/>
        <w:rPr>
          <w:rFonts w:ascii="Rockwell" w:eastAsia="Times New Roman" w:hAnsi="Rockwell" w:cs="Times New Roman"/>
          <w:b/>
          <w:sz w:val="24"/>
          <w:szCs w:val="24"/>
        </w:rPr>
      </w:pPr>
      <w:bookmarkStart w:id="17" w:name="_Toc209047104"/>
      <w:r w:rsidRPr="004A76D7">
        <w:rPr>
          <w:rFonts w:ascii="Rockwell" w:eastAsia="Times New Roman" w:hAnsi="Rockwell" w:cs="Times New Roman"/>
          <w:b/>
          <w:sz w:val="24"/>
          <w:szCs w:val="24"/>
        </w:rPr>
        <w:t xml:space="preserve">3.2 </w:t>
      </w:r>
      <w:r w:rsidR="003B55D8" w:rsidRPr="004A76D7">
        <w:rPr>
          <w:rFonts w:ascii="Rockwell" w:eastAsia="Times New Roman" w:hAnsi="Rockwell" w:cs="Times New Roman"/>
          <w:b/>
          <w:sz w:val="24"/>
          <w:szCs w:val="24"/>
        </w:rPr>
        <w:t xml:space="preserve">Review of the </w:t>
      </w:r>
      <w:r w:rsidRPr="004A76D7">
        <w:rPr>
          <w:rFonts w:ascii="Rockwell" w:eastAsia="Times New Roman" w:hAnsi="Rockwell" w:cs="Times New Roman"/>
          <w:b/>
          <w:sz w:val="24"/>
          <w:szCs w:val="24"/>
        </w:rPr>
        <w:t>En</w:t>
      </w:r>
      <w:r w:rsidR="003B55D8" w:rsidRPr="004A76D7">
        <w:rPr>
          <w:rFonts w:ascii="Rockwell" w:eastAsia="Times New Roman" w:hAnsi="Rockwell" w:cs="Times New Roman"/>
          <w:b/>
          <w:sz w:val="24"/>
          <w:szCs w:val="24"/>
        </w:rPr>
        <w:t>vironmental Deposit Bond Assessment Report</w:t>
      </w:r>
      <w:bookmarkEnd w:id="17"/>
      <w:r w:rsidRPr="004A76D7">
        <w:rPr>
          <w:rFonts w:ascii="Rockwell" w:eastAsia="Times New Roman" w:hAnsi="Rockwell" w:cs="Times New Roman"/>
          <w:b/>
          <w:sz w:val="24"/>
          <w:szCs w:val="24"/>
        </w:rPr>
        <w:t xml:space="preserve">       </w:t>
      </w:r>
    </w:p>
    <w:p w:rsidR="006822F2" w:rsidRPr="004A76D7" w:rsidRDefault="00AD5D8B"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Environmental Deposit Bond reviews are formal evaluations conducted by regulatory authorities to assess the adequacy and appropriateness of the financial securities (bonds) that companies or organizations have set aside to cover potential environmental liabilities. The review process helps verify that the bond remains aligned with the environmental risks and responsibilities associated with the project over time.</w:t>
      </w:r>
    </w:p>
    <w:p w:rsidR="006822F2" w:rsidRDefault="00AD5D8B"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The Authority in consultation with relevant lead agencies will use the submitted deposit bonds assessments report to </w:t>
      </w:r>
      <w:r w:rsidR="00341567" w:rsidRPr="004A76D7">
        <w:rPr>
          <w:rFonts w:ascii="Rockwell" w:eastAsia="Times New Roman" w:hAnsi="Rockwell" w:cs="Times New Roman"/>
          <w:sz w:val="24"/>
          <w:szCs w:val="24"/>
        </w:rPr>
        <w:t xml:space="preserve">determine the accuracy and adequacy of the deposit bonds amount and </w:t>
      </w:r>
      <w:r w:rsidRPr="004A76D7">
        <w:rPr>
          <w:rFonts w:ascii="Rockwell" w:eastAsia="Times New Roman" w:hAnsi="Rockwell" w:cs="Times New Roman"/>
          <w:sz w:val="24"/>
          <w:szCs w:val="24"/>
        </w:rPr>
        <w:t>inform a determination of the remediation liability</w:t>
      </w:r>
      <w:r w:rsidR="00341567" w:rsidRPr="004A76D7">
        <w:rPr>
          <w:rFonts w:ascii="Rockwell" w:eastAsia="Times New Roman" w:hAnsi="Rockwell" w:cs="Times New Roman"/>
          <w:sz w:val="24"/>
          <w:szCs w:val="24"/>
        </w:rPr>
        <w:t xml:space="preserve"> estimates</w:t>
      </w:r>
      <w:r w:rsidRPr="004A76D7">
        <w:rPr>
          <w:rFonts w:ascii="Rockwell" w:eastAsia="Times New Roman" w:hAnsi="Rockwell" w:cs="Times New Roman"/>
          <w:sz w:val="24"/>
          <w:szCs w:val="24"/>
        </w:rPr>
        <w:t xml:space="preserve">. Where significant variance occurs, the proponent may be given the opportunity to correct any errors of fact in the remediation liability assessment before a determination of the remediation bond is made. </w:t>
      </w:r>
    </w:p>
    <w:p w:rsidR="00553449" w:rsidRPr="004A76D7" w:rsidRDefault="00553449" w:rsidP="000E7DFC">
      <w:pPr>
        <w:spacing w:before="240" w:after="240"/>
        <w:jc w:val="both"/>
        <w:rPr>
          <w:rFonts w:ascii="Rockwell" w:eastAsia="Times New Roman" w:hAnsi="Rockwell" w:cs="Times New Roman"/>
          <w:sz w:val="24"/>
          <w:szCs w:val="24"/>
        </w:rPr>
      </w:pPr>
      <w:r>
        <w:rPr>
          <w:rFonts w:ascii="Rockwell" w:eastAsia="Times New Roman" w:hAnsi="Rockwell" w:cs="Times New Roman"/>
          <w:sz w:val="24"/>
          <w:szCs w:val="24"/>
        </w:rPr>
        <w:t>The review shall validate the self-assessment undertaken by the competent experts</w:t>
      </w:r>
      <w:r w:rsidR="00DF1085">
        <w:rPr>
          <w:rFonts w:ascii="Rockwell" w:eastAsia="Times New Roman" w:hAnsi="Rockwell" w:cs="Times New Roman"/>
          <w:sz w:val="24"/>
          <w:szCs w:val="24"/>
        </w:rPr>
        <w:t>, approve the deposit assessment report and issue the notice of bond payable</w:t>
      </w:r>
      <w:r>
        <w:rPr>
          <w:rFonts w:ascii="Rockwell" w:eastAsia="Times New Roman" w:hAnsi="Rockwell" w:cs="Times New Roman"/>
          <w:sz w:val="24"/>
          <w:szCs w:val="24"/>
        </w:rPr>
        <w:t>.</w:t>
      </w:r>
    </w:p>
    <w:p w:rsidR="0038003B" w:rsidRPr="004A76D7" w:rsidRDefault="00AD5D8B" w:rsidP="000E7DFC">
      <w:pPr>
        <w:pStyle w:val="Heading1"/>
        <w:jc w:val="both"/>
        <w:rPr>
          <w:rFonts w:ascii="Rockwell" w:eastAsia="Times New Roman" w:hAnsi="Rockwell" w:cs="Times New Roman"/>
          <w:b/>
          <w:sz w:val="24"/>
          <w:szCs w:val="24"/>
        </w:rPr>
      </w:pPr>
      <w:bookmarkStart w:id="18" w:name="_Toc209047105"/>
      <w:r w:rsidRPr="004A76D7">
        <w:rPr>
          <w:rFonts w:ascii="Rockwell" w:eastAsia="Times New Roman" w:hAnsi="Rockwell" w:cs="Times New Roman"/>
          <w:b/>
          <w:sz w:val="24"/>
          <w:szCs w:val="24"/>
        </w:rPr>
        <w:t xml:space="preserve">3.3 </w:t>
      </w:r>
      <w:r w:rsidR="0038003B" w:rsidRPr="004A76D7">
        <w:rPr>
          <w:rFonts w:ascii="Rockwell" w:eastAsia="Times New Roman" w:hAnsi="Rockwell" w:cs="Times New Roman"/>
          <w:b/>
          <w:sz w:val="24"/>
          <w:szCs w:val="24"/>
        </w:rPr>
        <w:t>Reassessment of the Deposit Bonds payable</w:t>
      </w:r>
      <w:bookmarkEnd w:id="18"/>
    </w:p>
    <w:p w:rsidR="00031D04" w:rsidRPr="004A76D7" w:rsidRDefault="00ED43EB" w:rsidP="000E7DFC">
      <w:pPr>
        <w:pStyle w:val="NormalWeb"/>
        <w:spacing w:line="276" w:lineRule="auto"/>
        <w:jc w:val="both"/>
        <w:rPr>
          <w:rFonts w:ascii="Rockwell" w:hAnsi="Rockwell"/>
        </w:rPr>
      </w:pPr>
      <w:r w:rsidRPr="004A76D7">
        <w:rPr>
          <w:rFonts w:ascii="Rockwell" w:hAnsi="Rockwell"/>
        </w:rPr>
        <w:t xml:space="preserve">Reassessment of </w:t>
      </w:r>
      <w:r w:rsidRPr="004A76D7">
        <w:rPr>
          <w:rStyle w:val="Strong"/>
          <w:rFonts w:ascii="Rockwell" w:hAnsi="Rockwell"/>
          <w:b w:val="0"/>
        </w:rPr>
        <w:t>Environmental Deposit Bonds Payable</w:t>
      </w:r>
      <w:r w:rsidRPr="004A76D7">
        <w:rPr>
          <w:rFonts w:ascii="Rockwell" w:hAnsi="Rockwell"/>
          <w:b/>
        </w:rPr>
        <w:t xml:space="preserve"> </w:t>
      </w:r>
      <w:r w:rsidRPr="004A76D7">
        <w:rPr>
          <w:rFonts w:ascii="Rockwell" w:hAnsi="Rockwell"/>
        </w:rPr>
        <w:t xml:space="preserve">refers to the process of </w:t>
      </w:r>
      <w:r w:rsidR="00D55021">
        <w:rPr>
          <w:rFonts w:ascii="Rockwell" w:hAnsi="Rockwell"/>
        </w:rPr>
        <w:t xml:space="preserve">agreed correction and adjustments of the </w:t>
      </w:r>
      <w:r w:rsidRPr="004A76D7">
        <w:rPr>
          <w:rFonts w:ascii="Rockwell" w:hAnsi="Rockwell"/>
        </w:rPr>
        <w:t xml:space="preserve">liabilities related to environmental deposit bonds. </w:t>
      </w:r>
    </w:p>
    <w:p w:rsidR="00ED43EB" w:rsidRPr="004A76D7" w:rsidRDefault="00ED43EB" w:rsidP="000E7DFC">
      <w:pPr>
        <w:pStyle w:val="NormalWeb"/>
        <w:spacing w:line="276" w:lineRule="auto"/>
        <w:jc w:val="both"/>
        <w:rPr>
          <w:rFonts w:ascii="Rockwell" w:hAnsi="Rockwell"/>
        </w:rPr>
      </w:pPr>
      <w:r w:rsidRPr="004A76D7">
        <w:rPr>
          <w:rFonts w:ascii="Rockwell" w:hAnsi="Rockwell"/>
        </w:rPr>
        <w:t xml:space="preserve">The </w:t>
      </w:r>
      <w:r w:rsidRPr="004A76D7">
        <w:rPr>
          <w:rStyle w:val="Strong"/>
          <w:rFonts w:ascii="Rockwell" w:hAnsi="Rockwell"/>
          <w:b w:val="0"/>
        </w:rPr>
        <w:t>reassessment</w:t>
      </w:r>
      <w:r w:rsidRPr="004A76D7">
        <w:rPr>
          <w:rFonts w:ascii="Rockwell" w:hAnsi="Rockwell"/>
        </w:rPr>
        <w:t xml:space="preserve"> may be triggered by several factors, including</w:t>
      </w:r>
      <w:r w:rsidR="00031D04" w:rsidRPr="004A76D7">
        <w:rPr>
          <w:rFonts w:ascii="Rockwell" w:hAnsi="Rockwell"/>
        </w:rPr>
        <w:t xml:space="preserve"> but not limited to</w:t>
      </w:r>
      <w:r w:rsidRPr="004A76D7">
        <w:rPr>
          <w:rFonts w:ascii="Rockwell" w:hAnsi="Rockwell"/>
        </w:rPr>
        <w:t>:</w:t>
      </w:r>
    </w:p>
    <w:p w:rsidR="00B51D82" w:rsidRPr="004A76D7" w:rsidRDefault="00B51D82" w:rsidP="000E7DFC">
      <w:pPr>
        <w:pStyle w:val="ListParagraph"/>
        <w:numPr>
          <w:ilvl w:val="0"/>
          <w:numId w:val="9"/>
        </w:numPr>
        <w:jc w:val="both"/>
        <w:rPr>
          <w:rFonts w:ascii="Rockwell" w:eastAsia="Times New Roman" w:hAnsi="Rockwell" w:cs="Times New Roman"/>
          <w:sz w:val="24"/>
          <w:szCs w:val="24"/>
        </w:rPr>
      </w:pPr>
      <w:r w:rsidRPr="004A76D7">
        <w:rPr>
          <w:rFonts w:ascii="Rockwell" w:eastAsia="Times New Roman" w:hAnsi="Rockwell" w:cs="Times New Roman"/>
          <w:sz w:val="24"/>
          <w:szCs w:val="24"/>
        </w:rPr>
        <w:t>there has been an error in the original assessment;</w:t>
      </w:r>
    </w:p>
    <w:p w:rsidR="00B51D82" w:rsidRPr="004A76D7" w:rsidRDefault="00B51D82" w:rsidP="000E7DFC">
      <w:pPr>
        <w:pStyle w:val="ListParagraph"/>
        <w:numPr>
          <w:ilvl w:val="0"/>
          <w:numId w:val="9"/>
        </w:numPr>
        <w:jc w:val="both"/>
        <w:rPr>
          <w:rFonts w:ascii="Rockwell" w:eastAsia="Times New Roman" w:hAnsi="Rockwell" w:cs="Times New Roman"/>
          <w:sz w:val="24"/>
          <w:szCs w:val="24"/>
        </w:rPr>
      </w:pPr>
      <w:r w:rsidRPr="004A76D7">
        <w:rPr>
          <w:rFonts w:ascii="Rockwell" w:eastAsia="Times New Roman" w:hAnsi="Rockwell" w:cs="Times New Roman"/>
          <w:sz w:val="24"/>
          <w:szCs w:val="24"/>
        </w:rPr>
        <w:t>there is a substantial change or modification in an activity, industrial plant or undertaking or in the manner in which an activity, industrial plant or undertakings is being operated;</w:t>
      </w:r>
    </w:p>
    <w:p w:rsidR="00B51D82" w:rsidRPr="004A76D7" w:rsidRDefault="00B51D82" w:rsidP="000E7DFC">
      <w:pPr>
        <w:pStyle w:val="ListParagraph"/>
        <w:numPr>
          <w:ilvl w:val="0"/>
          <w:numId w:val="9"/>
        </w:numPr>
        <w:jc w:val="both"/>
        <w:rPr>
          <w:rFonts w:ascii="Rockwell" w:eastAsia="Times New Roman" w:hAnsi="Rockwell" w:cs="Times New Roman"/>
          <w:sz w:val="24"/>
          <w:szCs w:val="24"/>
        </w:rPr>
      </w:pPr>
      <w:r w:rsidRPr="004A76D7">
        <w:rPr>
          <w:rFonts w:ascii="Rockwell" w:eastAsia="Times New Roman" w:hAnsi="Rockwell" w:cs="Times New Roman"/>
          <w:sz w:val="24"/>
          <w:szCs w:val="24"/>
        </w:rPr>
        <w:t>an activity, industrial plant or undertaking poses an environmental threat requiring greater remediation interventions which could not be reasonably foreseen at the time the original assessment was approved;</w:t>
      </w:r>
    </w:p>
    <w:p w:rsidR="00B51D82" w:rsidRPr="004A76D7" w:rsidRDefault="00B51D82" w:rsidP="000E7DFC">
      <w:pPr>
        <w:pStyle w:val="ListParagraph"/>
        <w:numPr>
          <w:ilvl w:val="0"/>
          <w:numId w:val="9"/>
        </w:numPr>
        <w:jc w:val="both"/>
        <w:rPr>
          <w:rFonts w:ascii="Rockwell" w:eastAsia="Times New Roman" w:hAnsi="Rockwell" w:cs="Times New Roman"/>
          <w:sz w:val="24"/>
          <w:szCs w:val="24"/>
        </w:rPr>
      </w:pPr>
      <w:r w:rsidRPr="004A76D7">
        <w:rPr>
          <w:rFonts w:ascii="Rockwell" w:eastAsia="Times New Roman" w:hAnsi="Rockwell" w:cs="Times New Roman"/>
          <w:sz w:val="24"/>
          <w:szCs w:val="24"/>
        </w:rPr>
        <w:t>it is established that the information or data given by the applicant was false, inaccurate or intended to mislead; or</w:t>
      </w:r>
    </w:p>
    <w:p w:rsidR="00B51D82" w:rsidRDefault="00B51D82" w:rsidP="000E7DFC">
      <w:pPr>
        <w:pStyle w:val="ListParagraph"/>
        <w:numPr>
          <w:ilvl w:val="0"/>
          <w:numId w:val="9"/>
        </w:numPr>
        <w:jc w:val="both"/>
        <w:rPr>
          <w:rFonts w:ascii="Rockwell" w:eastAsia="Times New Roman" w:hAnsi="Rockwell" w:cs="Times New Roman"/>
          <w:sz w:val="24"/>
          <w:szCs w:val="24"/>
        </w:rPr>
      </w:pPr>
      <w:proofErr w:type="gramStart"/>
      <w:r w:rsidRPr="004A76D7">
        <w:rPr>
          <w:rFonts w:ascii="Rockwell" w:eastAsia="Times New Roman" w:hAnsi="Rockwell" w:cs="Times New Roman"/>
          <w:sz w:val="24"/>
          <w:szCs w:val="24"/>
        </w:rPr>
        <w:lastRenderedPageBreak/>
        <w:t>the</w:t>
      </w:r>
      <w:proofErr w:type="gramEnd"/>
      <w:r w:rsidRPr="004A76D7">
        <w:rPr>
          <w:rFonts w:ascii="Rockwell" w:eastAsia="Times New Roman" w:hAnsi="Rockwell" w:cs="Times New Roman"/>
          <w:sz w:val="24"/>
          <w:szCs w:val="24"/>
        </w:rPr>
        <w:t xml:space="preserve"> deposit bond amount has been partially or fully </w:t>
      </w:r>
      <w:proofErr w:type="spellStart"/>
      <w:r w:rsidRPr="004A76D7">
        <w:rPr>
          <w:rFonts w:ascii="Rockwell" w:eastAsia="Times New Roman" w:hAnsi="Rockwell" w:cs="Times New Roman"/>
          <w:sz w:val="24"/>
          <w:szCs w:val="24"/>
        </w:rPr>
        <w:t>utilised</w:t>
      </w:r>
      <w:proofErr w:type="spellEnd"/>
      <w:r w:rsidRPr="004A76D7">
        <w:rPr>
          <w:rFonts w:ascii="Rockwell" w:eastAsia="Times New Roman" w:hAnsi="Rockwell" w:cs="Times New Roman"/>
          <w:sz w:val="24"/>
          <w:szCs w:val="24"/>
        </w:rPr>
        <w:t xml:space="preserve"> </w:t>
      </w:r>
      <w:r w:rsidR="00553449">
        <w:rPr>
          <w:rFonts w:ascii="Rockwell" w:eastAsia="Times New Roman" w:hAnsi="Rockwell" w:cs="Times New Roman"/>
          <w:sz w:val="24"/>
          <w:szCs w:val="24"/>
        </w:rPr>
        <w:t>before the completion of the affected project.</w:t>
      </w:r>
      <w:r w:rsidR="00DF1085">
        <w:rPr>
          <w:rFonts w:ascii="Rockwell" w:eastAsia="Times New Roman" w:hAnsi="Rockwell" w:cs="Times New Roman"/>
          <w:sz w:val="24"/>
          <w:szCs w:val="24"/>
        </w:rPr>
        <w:t xml:space="preserve"> For example,</w:t>
      </w:r>
      <w:r w:rsidR="00553449">
        <w:rPr>
          <w:rFonts w:ascii="Rockwell" w:eastAsia="Times New Roman" w:hAnsi="Rockwell" w:cs="Times New Roman"/>
          <w:sz w:val="24"/>
          <w:szCs w:val="24"/>
        </w:rPr>
        <w:t xml:space="preserve"> </w:t>
      </w:r>
      <w:r w:rsidR="00DF1085">
        <w:rPr>
          <w:rFonts w:ascii="Rockwell" w:eastAsia="Times New Roman" w:hAnsi="Rockwell" w:cs="Times New Roman"/>
          <w:sz w:val="24"/>
          <w:szCs w:val="24"/>
        </w:rPr>
        <w:t xml:space="preserve">use of the Bond by the Regulator </w:t>
      </w:r>
      <w:r w:rsidRPr="004A76D7">
        <w:rPr>
          <w:rFonts w:ascii="Rockwell" w:eastAsia="Times New Roman" w:hAnsi="Rockwell" w:cs="Times New Roman"/>
          <w:sz w:val="24"/>
          <w:szCs w:val="24"/>
        </w:rPr>
        <w:t>during an emergency situation to remediate the affected media</w:t>
      </w:r>
      <w:r w:rsidR="00DF1085">
        <w:rPr>
          <w:rFonts w:ascii="Rockwell" w:eastAsia="Times New Roman" w:hAnsi="Rockwell" w:cs="Times New Roman"/>
          <w:sz w:val="24"/>
          <w:szCs w:val="24"/>
        </w:rPr>
        <w:t>.</w:t>
      </w:r>
    </w:p>
    <w:p w:rsidR="0038003B" w:rsidRPr="00DF1085" w:rsidRDefault="0038003B" w:rsidP="000E7DFC">
      <w:pPr>
        <w:pStyle w:val="Heading1"/>
        <w:jc w:val="both"/>
        <w:rPr>
          <w:rFonts w:ascii="Rockwell" w:eastAsia="Times New Roman" w:hAnsi="Rockwell" w:cs="Times New Roman"/>
          <w:sz w:val="24"/>
          <w:szCs w:val="24"/>
        </w:rPr>
      </w:pPr>
      <w:bookmarkStart w:id="19" w:name="_Toc209047106"/>
      <w:r w:rsidRPr="004A76D7">
        <w:rPr>
          <w:rFonts w:ascii="Rockwell" w:eastAsia="Times New Roman" w:hAnsi="Rockwell" w:cs="Times New Roman"/>
          <w:b/>
          <w:sz w:val="24"/>
          <w:szCs w:val="24"/>
        </w:rPr>
        <w:t>3.4</w:t>
      </w:r>
      <w:r w:rsidR="00DF1085">
        <w:rPr>
          <w:rFonts w:ascii="Rockwell" w:eastAsia="Times New Roman" w:hAnsi="Rockwell" w:cs="Times New Roman"/>
          <w:b/>
          <w:sz w:val="24"/>
          <w:szCs w:val="24"/>
        </w:rPr>
        <w:t xml:space="preserve"> </w:t>
      </w:r>
      <w:r w:rsidRPr="004A76D7">
        <w:rPr>
          <w:rFonts w:ascii="Rockwell" w:eastAsia="Times New Roman" w:hAnsi="Rockwell" w:cs="Times New Roman"/>
          <w:b/>
          <w:sz w:val="24"/>
          <w:szCs w:val="24"/>
        </w:rPr>
        <w:t>Review of the Environmental Deposit Bond</w:t>
      </w:r>
      <w:r w:rsidR="00341567" w:rsidRPr="004A76D7">
        <w:rPr>
          <w:rFonts w:ascii="Rockwell" w:eastAsia="Times New Roman" w:hAnsi="Rockwell" w:cs="Times New Roman"/>
          <w:b/>
          <w:sz w:val="24"/>
          <w:szCs w:val="24"/>
        </w:rPr>
        <w:t xml:space="preserve"> payable</w:t>
      </w:r>
      <w:bookmarkEnd w:id="19"/>
    </w:p>
    <w:p w:rsidR="00B93340" w:rsidRDefault="00031D04" w:rsidP="000E7DFC">
      <w:pPr>
        <w:pStyle w:val="NormalWeb"/>
        <w:spacing w:line="276" w:lineRule="auto"/>
        <w:jc w:val="both"/>
        <w:rPr>
          <w:rFonts w:ascii="Rockwell" w:hAnsi="Rockwell"/>
          <w:lang w:val="en"/>
        </w:rPr>
      </w:pPr>
      <w:r w:rsidRPr="004A76D7">
        <w:rPr>
          <w:rFonts w:ascii="Rockwell" w:hAnsi="Rockwell"/>
          <w:lang w:val="en"/>
        </w:rPr>
        <w:t>The</w:t>
      </w:r>
      <w:r w:rsidR="00DF1085">
        <w:rPr>
          <w:rFonts w:ascii="Rockwell" w:hAnsi="Rockwell"/>
          <w:bCs/>
          <w:lang w:val="en"/>
        </w:rPr>
        <w:t xml:space="preserve"> r</w:t>
      </w:r>
      <w:r w:rsidRPr="004A76D7">
        <w:rPr>
          <w:rFonts w:ascii="Rockwell" w:hAnsi="Rockwell"/>
          <w:bCs/>
          <w:lang w:val="en"/>
        </w:rPr>
        <w:t>eview of Environmental Deposit Bonds</w:t>
      </w:r>
      <w:r w:rsidRPr="004A76D7">
        <w:rPr>
          <w:rFonts w:ascii="Rockwell" w:hAnsi="Rockwell"/>
          <w:lang w:val="en"/>
        </w:rPr>
        <w:t xml:space="preserve"> refers to a systematic evaluation, </w:t>
      </w:r>
      <w:r w:rsidR="00B93340">
        <w:rPr>
          <w:rFonts w:ascii="Rockwell" w:hAnsi="Rockwell"/>
          <w:lang w:val="en"/>
        </w:rPr>
        <w:t xml:space="preserve">conducted at regular intervals during the life of mine </w:t>
      </w:r>
      <w:r w:rsidRPr="004A76D7">
        <w:rPr>
          <w:rFonts w:ascii="Rockwell" w:hAnsi="Rockwell"/>
          <w:lang w:val="en"/>
        </w:rPr>
        <w:t xml:space="preserve">to assess the adequacy and appropriateness of the financial guarantees provided by the deposit bonds. </w:t>
      </w:r>
    </w:p>
    <w:p w:rsidR="006C4073" w:rsidRDefault="00B93340" w:rsidP="006C4073">
      <w:pPr>
        <w:spacing w:before="240" w:after="240"/>
        <w:jc w:val="both"/>
        <w:rPr>
          <w:rFonts w:ascii="Rockwell" w:eastAsia="Times New Roman" w:hAnsi="Rockwell" w:cs="Times New Roman"/>
          <w:sz w:val="24"/>
          <w:szCs w:val="24"/>
        </w:rPr>
      </w:pPr>
      <w:r w:rsidRPr="00B93340">
        <w:rPr>
          <w:rFonts w:ascii="Rockwell" w:eastAsia="Times New Roman" w:hAnsi="Rockwell" w:cs="Times New Roman"/>
          <w:sz w:val="24"/>
          <w:szCs w:val="24"/>
        </w:rPr>
        <w:t xml:space="preserve">The Authority </w:t>
      </w:r>
      <w:r w:rsidR="00DF1085">
        <w:rPr>
          <w:rFonts w:ascii="Rockwell" w:eastAsia="Times New Roman" w:hAnsi="Rockwell" w:cs="Times New Roman"/>
          <w:sz w:val="24"/>
          <w:szCs w:val="24"/>
        </w:rPr>
        <w:t xml:space="preserve">in consultation with the relevant lead agencies </w:t>
      </w:r>
      <w:r w:rsidRPr="00B93340">
        <w:rPr>
          <w:rFonts w:ascii="Rockwell" w:eastAsia="Times New Roman" w:hAnsi="Rockwell" w:cs="Times New Roman"/>
          <w:sz w:val="24"/>
          <w:szCs w:val="24"/>
        </w:rPr>
        <w:t xml:space="preserve">may conduct a review of the deposit bond payable to ensure adequacy of the deposit bond with regard to the approved remediation plan. </w:t>
      </w:r>
    </w:p>
    <w:p w:rsidR="00D55021" w:rsidRPr="00B93340" w:rsidRDefault="006C4073" w:rsidP="000E7DFC">
      <w:pPr>
        <w:spacing w:before="240" w:after="240"/>
        <w:jc w:val="both"/>
        <w:rPr>
          <w:rFonts w:ascii="Rockwell" w:eastAsia="Times New Roman" w:hAnsi="Rockwell" w:cs="Times New Roman"/>
          <w:sz w:val="24"/>
          <w:szCs w:val="24"/>
        </w:rPr>
      </w:pPr>
      <w:r w:rsidRPr="006C4073">
        <w:rPr>
          <w:rFonts w:ascii="Rockwell" w:eastAsia="Times New Roman" w:hAnsi="Rockwell" w:cs="Times New Roman"/>
          <w:sz w:val="24"/>
          <w:szCs w:val="24"/>
        </w:rPr>
        <w:t>T</w:t>
      </w:r>
      <w:r>
        <w:rPr>
          <w:rFonts w:ascii="Rockwell" w:eastAsia="Times New Roman" w:hAnsi="Rockwell" w:cs="Times New Roman"/>
          <w:sz w:val="24"/>
          <w:szCs w:val="24"/>
        </w:rPr>
        <w:t xml:space="preserve">he review will </w:t>
      </w:r>
      <w:r w:rsidRPr="006C4073">
        <w:rPr>
          <w:rFonts w:ascii="Rockwell" w:eastAsia="Times New Roman" w:hAnsi="Rockwell" w:cs="Times New Roman"/>
          <w:sz w:val="24"/>
          <w:szCs w:val="24"/>
        </w:rPr>
        <w:t>be undertaken after every three years, or any other period as may be prescribed by the Authority</w:t>
      </w:r>
      <w:r>
        <w:rPr>
          <w:rFonts w:ascii="Rockwell" w:eastAsia="Times New Roman" w:hAnsi="Rockwell" w:cs="Times New Roman"/>
          <w:sz w:val="24"/>
          <w:szCs w:val="24"/>
        </w:rPr>
        <w:t xml:space="preserve"> and </w:t>
      </w:r>
      <w:r w:rsidR="00B93340" w:rsidRPr="00B93340">
        <w:rPr>
          <w:rFonts w:ascii="Rockwell" w:eastAsia="Times New Roman" w:hAnsi="Rockwell" w:cs="Times New Roman"/>
          <w:sz w:val="24"/>
          <w:szCs w:val="24"/>
        </w:rPr>
        <w:t>should take into consideration the following;</w:t>
      </w:r>
    </w:p>
    <w:p w:rsidR="00B93340" w:rsidRDefault="00B93340" w:rsidP="000E7DFC">
      <w:pPr>
        <w:pStyle w:val="ListParagraph"/>
        <w:numPr>
          <w:ilvl w:val="0"/>
          <w:numId w:val="14"/>
        </w:numPr>
        <w:spacing w:before="240" w:after="240"/>
        <w:jc w:val="both"/>
        <w:rPr>
          <w:rFonts w:ascii="Rockwell" w:eastAsia="Times New Roman" w:hAnsi="Rockwell" w:cs="Times New Roman"/>
          <w:sz w:val="24"/>
          <w:szCs w:val="24"/>
        </w:rPr>
      </w:pPr>
      <w:r w:rsidRPr="00B93340">
        <w:rPr>
          <w:rFonts w:ascii="Rockwell" w:eastAsia="Times New Roman" w:hAnsi="Rockwell" w:cs="Times New Roman"/>
          <w:sz w:val="24"/>
          <w:szCs w:val="24"/>
        </w:rPr>
        <w:t xml:space="preserve">Complexity of the operation, long-term care and progressive remediation works required; </w:t>
      </w:r>
    </w:p>
    <w:p w:rsidR="00B93340" w:rsidRPr="00B93340" w:rsidRDefault="00B93340" w:rsidP="000E7DFC">
      <w:pPr>
        <w:pStyle w:val="ListParagraph"/>
        <w:numPr>
          <w:ilvl w:val="0"/>
          <w:numId w:val="14"/>
        </w:numPr>
        <w:spacing w:before="240" w:after="240"/>
        <w:jc w:val="both"/>
        <w:rPr>
          <w:rFonts w:ascii="Rockwell" w:eastAsia="Times New Roman" w:hAnsi="Rockwell" w:cs="Times New Roman"/>
          <w:sz w:val="24"/>
          <w:szCs w:val="24"/>
        </w:rPr>
      </w:pPr>
      <w:r>
        <w:rPr>
          <w:rFonts w:ascii="Rockwell" w:eastAsia="Times New Roman" w:hAnsi="Rockwell" w:cs="Times New Roman"/>
          <w:sz w:val="24"/>
          <w:szCs w:val="24"/>
        </w:rPr>
        <w:t>Change in policy and legislative framework;</w:t>
      </w:r>
    </w:p>
    <w:p w:rsidR="006C4073" w:rsidRDefault="00B93340" w:rsidP="000E7DFC">
      <w:pPr>
        <w:pStyle w:val="ListParagraph"/>
        <w:numPr>
          <w:ilvl w:val="0"/>
          <w:numId w:val="14"/>
        </w:numPr>
        <w:spacing w:before="240" w:after="240"/>
        <w:jc w:val="both"/>
        <w:rPr>
          <w:rFonts w:ascii="Rockwell" w:eastAsia="Times New Roman" w:hAnsi="Rockwell" w:cs="Times New Roman"/>
          <w:sz w:val="24"/>
          <w:szCs w:val="24"/>
        </w:rPr>
      </w:pPr>
      <w:r>
        <w:rPr>
          <w:rFonts w:ascii="Rockwell" w:eastAsia="Times New Roman" w:hAnsi="Rockwell" w:cs="Times New Roman"/>
          <w:sz w:val="24"/>
          <w:szCs w:val="24"/>
        </w:rPr>
        <w:t>Transfer</w:t>
      </w:r>
      <w:r w:rsidR="006C4073">
        <w:rPr>
          <w:rFonts w:ascii="Rockwell" w:eastAsia="Times New Roman" w:hAnsi="Rockwell" w:cs="Times New Roman"/>
          <w:sz w:val="24"/>
          <w:szCs w:val="24"/>
        </w:rPr>
        <w:t xml:space="preserve"> of ownership;</w:t>
      </w:r>
    </w:p>
    <w:p w:rsidR="006C4073" w:rsidRDefault="00B93340" w:rsidP="000E7DFC">
      <w:pPr>
        <w:pStyle w:val="ListParagraph"/>
        <w:numPr>
          <w:ilvl w:val="0"/>
          <w:numId w:val="14"/>
        </w:numPr>
        <w:spacing w:before="240" w:after="240"/>
        <w:jc w:val="both"/>
        <w:rPr>
          <w:rFonts w:ascii="Rockwell" w:eastAsia="Times New Roman" w:hAnsi="Rockwell" w:cs="Times New Roman"/>
          <w:sz w:val="24"/>
          <w:szCs w:val="24"/>
        </w:rPr>
      </w:pPr>
      <w:r>
        <w:rPr>
          <w:rFonts w:ascii="Rockwell" w:eastAsia="Times New Roman" w:hAnsi="Rockwell" w:cs="Times New Roman"/>
          <w:sz w:val="24"/>
          <w:szCs w:val="24"/>
        </w:rPr>
        <w:t>technolog</w:t>
      </w:r>
      <w:r w:rsidR="006C4073">
        <w:rPr>
          <w:rFonts w:ascii="Rockwell" w:eastAsia="Times New Roman" w:hAnsi="Rockwell" w:cs="Times New Roman"/>
          <w:sz w:val="24"/>
          <w:szCs w:val="24"/>
        </w:rPr>
        <w:t>ical advancement;</w:t>
      </w:r>
    </w:p>
    <w:p w:rsidR="006C4073" w:rsidRDefault="006C4073" w:rsidP="000E7DFC">
      <w:pPr>
        <w:pStyle w:val="ListParagraph"/>
        <w:numPr>
          <w:ilvl w:val="0"/>
          <w:numId w:val="14"/>
        </w:numPr>
        <w:spacing w:before="240" w:after="240"/>
        <w:jc w:val="both"/>
        <w:rPr>
          <w:rFonts w:ascii="Rockwell" w:eastAsia="Times New Roman" w:hAnsi="Rockwell" w:cs="Times New Roman"/>
          <w:sz w:val="24"/>
          <w:szCs w:val="24"/>
        </w:rPr>
      </w:pPr>
      <w:r>
        <w:rPr>
          <w:rFonts w:ascii="Rockwell" w:eastAsia="Times New Roman" w:hAnsi="Rockwell" w:cs="Times New Roman"/>
          <w:sz w:val="24"/>
          <w:szCs w:val="24"/>
        </w:rPr>
        <w:t xml:space="preserve">new and </w:t>
      </w:r>
      <w:r w:rsidR="00B93340">
        <w:rPr>
          <w:rFonts w:ascii="Rockwell" w:eastAsia="Times New Roman" w:hAnsi="Rockwell" w:cs="Times New Roman"/>
          <w:sz w:val="24"/>
          <w:szCs w:val="24"/>
        </w:rPr>
        <w:t xml:space="preserve">emerging </w:t>
      </w:r>
      <w:r w:rsidR="00B93340" w:rsidRPr="00B93340">
        <w:rPr>
          <w:rFonts w:ascii="Rockwell" w:eastAsia="Times New Roman" w:hAnsi="Rockwell" w:cs="Times New Roman"/>
          <w:sz w:val="24"/>
          <w:szCs w:val="24"/>
        </w:rPr>
        <w:t>k</w:t>
      </w:r>
      <w:r>
        <w:rPr>
          <w:rFonts w:ascii="Rockwell" w:eastAsia="Times New Roman" w:hAnsi="Rockwell" w:cs="Times New Roman"/>
          <w:sz w:val="24"/>
          <w:szCs w:val="24"/>
        </w:rPr>
        <w:t>nowledge;</w:t>
      </w:r>
    </w:p>
    <w:p w:rsidR="00B93340" w:rsidRPr="00B93340" w:rsidRDefault="00B93340" w:rsidP="000E7DFC">
      <w:pPr>
        <w:pStyle w:val="ListParagraph"/>
        <w:numPr>
          <w:ilvl w:val="0"/>
          <w:numId w:val="14"/>
        </w:numPr>
        <w:spacing w:before="240" w:after="240"/>
        <w:jc w:val="both"/>
        <w:rPr>
          <w:rFonts w:ascii="Rockwell" w:eastAsia="Times New Roman" w:hAnsi="Rockwell" w:cs="Times New Roman"/>
          <w:sz w:val="24"/>
          <w:szCs w:val="24"/>
        </w:rPr>
      </w:pPr>
      <w:r>
        <w:rPr>
          <w:rFonts w:ascii="Rockwell" w:eastAsia="Times New Roman" w:hAnsi="Rockwell" w:cs="Times New Roman"/>
          <w:sz w:val="24"/>
          <w:szCs w:val="24"/>
        </w:rPr>
        <w:t>work</w:t>
      </w:r>
      <w:r w:rsidR="006C4073">
        <w:rPr>
          <w:rFonts w:ascii="Rockwell" w:eastAsia="Times New Roman" w:hAnsi="Rockwell" w:cs="Times New Roman"/>
          <w:sz w:val="24"/>
          <w:szCs w:val="24"/>
        </w:rPr>
        <w:t xml:space="preserve"> plan variation; </w:t>
      </w:r>
    </w:p>
    <w:p w:rsidR="006822F2" w:rsidRPr="004A76D7" w:rsidRDefault="0038003B" w:rsidP="000E7DFC">
      <w:pPr>
        <w:pStyle w:val="Heading1"/>
        <w:jc w:val="both"/>
        <w:rPr>
          <w:rFonts w:ascii="Rockwell" w:eastAsia="Times New Roman" w:hAnsi="Rockwell" w:cs="Times New Roman"/>
          <w:b/>
          <w:sz w:val="24"/>
          <w:szCs w:val="24"/>
        </w:rPr>
      </w:pPr>
      <w:bookmarkStart w:id="20" w:name="_Toc209047107"/>
      <w:r w:rsidRPr="004A76D7">
        <w:rPr>
          <w:rFonts w:ascii="Rockwell" w:eastAsia="Times New Roman" w:hAnsi="Rockwell" w:cs="Times New Roman"/>
          <w:b/>
          <w:sz w:val="24"/>
          <w:szCs w:val="24"/>
        </w:rPr>
        <w:t>3</w:t>
      </w:r>
      <w:r w:rsidR="006C4073">
        <w:rPr>
          <w:rFonts w:ascii="Rockwell" w:eastAsia="Times New Roman" w:hAnsi="Rockwell" w:cs="Times New Roman"/>
          <w:b/>
          <w:sz w:val="24"/>
          <w:szCs w:val="24"/>
        </w:rPr>
        <w:t xml:space="preserve">.5 </w:t>
      </w:r>
      <w:r w:rsidR="00AD5D8B" w:rsidRPr="004A76D7">
        <w:rPr>
          <w:rFonts w:ascii="Rockwell" w:eastAsia="Times New Roman" w:hAnsi="Rockwell" w:cs="Times New Roman"/>
          <w:b/>
          <w:sz w:val="24"/>
          <w:szCs w:val="24"/>
        </w:rPr>
        <w:t>Refund</w:t>
      </w:r>
      <w:r w:rsidRPr="004A76D7">
        <w:rPr>
          <w:rFonts w:ascii="Rockwell" w:eastAsia="Times New Roman" w:hAnsi="Rockwell" w:cs="Times New Roman"/>
          <w:b/>
          <w:sz w:val="24"/>
          <w:szCs w:val="24"/>
        </w:rPr>
        <w:t xml:space="preserve"> of the Deposit Bonds</w:t>
      </w:r>
      <w:bookmarkEnd w:id="20"/>
    </w:p>
    <w:p w:rsidR="000A511C" w:rsidRDefault="00AD5D8B"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An Environmental Deposit Bond Refund refers to the process where a portion or the entirety of a financial bond that was initially set aside by a company or project operator to cover potential environmental damages is returned after the completion of a project or when certain conditions have been met. This refund occurs once regulatory authorities have determined that the company has fulfilled its environmental obligations, including successful remediation or restoration of the site impacted by the project. </w:t>
      </w:r>
    </w:p>
    <w:p w:rsidR="000A511C" w:rsidRPr="00B30A92" w:rsidRDefault="000A511C" w:rsidP="000A511C">
      <w:pPr>
        <w:spacing w:before="240" w:after="240"/>
        <w:jc w:val="both"/>
        <w:rPr>
          <w:rFonts w:ascii="Rockwell" w:eastAsia="Times New Roman" w:hAnsi="Rockwell" w:cs="Times New Roman"/>
          <w:sz w:val="24"/>
          <w:szCs w:val="24"/>
        </w:rPr>
      </w:pPr>
      <w:r w:rsidRPr="00B30A92">
        <w:rPr>
          <w:rFonts w:ascii="Rockwell" w:eastAsia="Times New Roman" w:hAnsi="Rockwell" w:cs="Times New Roman"/>
          <w:sz w:val="24"/>
          <w:szCs w:val="24"/>
        </w:rPr>
        <w:t xml:space="preserve">The operator is required within sixty days of nearing completion of an operation, notify the Authority when an operation is approaching closure and end of remediation works by submitting a remediation report demonstrating the completion of the remediation works in accordance with the parameters set out. </w:t>
      </w:r>
    </w:p>
    <w:p w:rsidR="000A511C" w:rsidRPr="00B30A92" w:rsidRDefault="000A511C" w:rsidP="000A511C">
      <w:pPr>
        <w:spacing w:before="240" w:after="240"/>
        <w:jc w:val="both"/>
        <w:rPr>
          <w:rFonts w:ascii="Rockwell" w:eastAsia="Times New Roman" w:hAnsi="Rockwell" w:cs="Times New Roman"/>
          <w:sz w:val="24"/>
          <w:szCs w:val="24"/>
        </w:rPr>
      </w:pPr>
      <w:r w:rsidRPr="00B30A92">
        <w:rPr>
          <w:rFonts w:ascii="Rockwell" w:eastAsia="Times New Roman" w:hAnsi="Rockwell" w:cs="Times New Roman"/>
          <w:sz w:val="24"/>
          <w:szCs w:val="24"/>
        </w:rPr>
        <w:t xml:space="preserve">The Authority in consultation with the relevant lead agencies will inspect the facility within sixty days from the date of submission of the remediation report to ensure compliance with the conditions, specifications and standards set out in the approval document, annual environmental audit reports, remediation, post care and </w:t>
      </w:r>
      <w:r w:rsidRPr="00B30A92">
        <w:rPr>
          <w:rFonts w:ascii="Rockwell" w:eastAsia="Times New Roman" w:hAnsi="Rockwell" w:cs="Times New Roman"/>
          <w:sz w:val="24"/>
          <w:szCs w:val="24"/>
        </w:rPr>
        <w:lastRenderedPageBreak/>
        <w:t>maintenance plans and initiate the processing of issuance of a bond discharge certificate.</w:t>
      </w:r>
    </w:p>
    <w:p w:rsidR="000A511C" w:rsidRPr="00B30A92" w:rsidRDefault="000A511C" w:rsidP="000A511C">
      <w:pPr>
        <w:spacing w:before="240" w:after="240"/>
        <w:jc w:val="both"/>
        <w:rPr>
          <w:rFonts w:ascii="Rockwell" w:eastAsia="Times New Roman" w:hAnsi="Rockwell" w:cs="Times New Roman"/>
          <w:sz w:val="24"/>
          <w:szCs w:val="24"/>
        </w:rPr>
      </w:pPr>
      <w:r w:rsidRPr="00B30A92">
        <w:rPr>
          <w:rFonts w:ascii="Rockwell" w:eastAsia="Times New Roman" w:hAnsi="Rockwell" w:cs="Times New Roman"/>
          <w:sz w:val="24"/>
          <w:szCs w:val="24"/>
        </w:rPr>
        <w:t xml:space="preserve">The inspection undertaken above </w:t>
      </w:r>
      <w:r w:rsidR="004B6E66">
        <w:rPr>
          <w:rFonts w:ascii="Rockwell" w:eastAsia="Times New Roman" w:hAnsi="Rockwell" w:cs="Times New Roman"/>
          <w:sz w:val="24"/>
          <w:szCs w:val="24"/>
        </w:rPr>
        <w:t xml:space="preserve">is meant to ensure that the operator has observed good environmental practices which includes </w:t>
      </w:r>
      <w:r w:rsidRPr="00B30A92">
        <w:rPr>
          <w:rFonts w:ascii="Rockwell" w:eastAsia="Times New Roman" w:hAnsi="Rockwell" w:cs="Times New Roman"/>
          <w:sz w:val="24"/>
          <w:szCs w:val="24"/>
        </w:rPr>
        <w:t>the following factors;</w:t>
      </w:r>
    </w:p>
    <w:p w:rsidR="000A511C" w:rsidRPr="006C1DB4" w:rsidRDefault="000A511C" w:rsidP="000A511C">
      <w:pPr>
        <w:pStyle w:val="ListParagraph"/>
        <w:numPr>
          <w:ilvl w:val="1"/>
          <w:numId w:val="16"/>
        </w:numPr>
        <w:spacing w:before="240" w:after="240"/>
        <w:jc w:val="both"/>
        <w:rPr>
          <w:rFonts w:ascii="Rockwell" w:eastAsia="Times New Roman" w:hAnsi="Rockwell" w:cs="Times New Roman"/>
          <w:sz w:val="24"/>
          <w:szCs w:val="24"/>
        </w:rPr>
      </w:pPr>
      <w:r w:rsidRPr="006C1DB4">
        <w:rPr>
          <w:rFonts w:ascii="Rockwell" w:eastAsia="Times New Roman" w:hAnsi="Rockwell" w:cs="Times New Roman"/>
          <w:sz w:val="24"/>
          <w:szCs w:val="24"/>
        </w:rPr>
        <w:t>the public safety of the site;</w:t>
      </w:r>
    </w:p>
    <w:p w:rsidR="000A511C" w:rsidRPr="006C1DB4" w:rsidRDefault="000A511C" w:rsidP="000A511C">
      <w:pPr>
        <w:pStyle w:val="ListParagraph"/>
        <w:numPr>
          <w:ilvl w:val="1"/>
          <w:numId w:val="16"/>
        </w:numPr>
        <w:spacing w:before="240" w:after="240"/>
        <w:jc w:val="both"/>
        <w:rPr>
          <w:rFonts w:ascii="Rockwell" w:eastAsia="Times New Roman" w:hAnsi="Rockwell" w:cs="Times New Roman"/>
          <w:sz w:val="24"/>
          <w:szCs w:val="24"/>
        </w:rPr>
      </w:pPr>
      <w:r w:rsidRPr="006C1DB4">
        <w:rPr>
          <w:rFonts w:ascii="Rockwell" w:eastAsia="Times New Roman" w:hAnsi="Rockwell" w:cs="Times New Roman"/>
          <w:sz w:val="24"/>
          <w:szCs w:val="24"/>
        </w:rPr>
        <w:t>the sampling and analysis of applicable parameters;</w:t>
      </w:r>
    </w:p>
    <w:p w:rsidR="000A511C" w:rsidRPr="006C1DB4" w:rsidRDefault="000A511C" w:rsidP="000A511C">
      <w:pPr>
        <w:pStyle w:val="ListParagraph"/>
        <w:numPr>
          <w:ilvl w:val="1"/>
          <w:numId w:val="16"/>
        </w:numPr>
        <w:spacing w:before="240" w:after="240"/>
        <w:jc w:val="both"/>
        <w:rPr>
          <w:rFonts w:ascii="Rockwell" w:eastAsia="Times New Roman" w:hAnsi="Rockwell" w:cs="Times New Roman"/>
          <w:sz w:val="24"/>
          <w:szCs w:val="24"/>
        </w:rPr>
      </w:pPr>
      <w:r w:rsidRPr="006C1DB4">
        <w:rPr>
          <w:rFonts w:ascii="Rockwell" w:eastAsia="Times New Roman" w:hAnsi="Rockwell" w:cs="Times New Roman"/>
          <w:sz w:val="24"/>
          <w:szCs w:val="24"/>
        </w:rPr>
        <w:t>the aesthetic value of the site;</w:t>
      </w:r>
    </w:p>
    <w:p w:rsidR="000A511C" w:rsidRPr="006C1DB4" w:rsidRDefault="000A511C" w:rsidP="000A511C">
      <w:pPr>
        <w:pStyle w:val="ListParagraph"/>
        <w:numPr>
          <w:ilvl w:val="1"/>
          <w:numId w:val="16"/>
        </w:numPr>
        <w:spacing w:before="240" w:after="240"/>
        <w:jc w:val="both"/>
        <w:rPr>
          <w:rFonts w:ascii="Rockwell" w:eastAsia="Times New Roman" w:hAnsi="Rockwell" w:cs="Times New Roman"/>
          <w:sz w:val="24"/>
          <w:szCs w:val="24"/>
        </w:rPr>
      </w:pPr>
      <w:r w:rsidRPr="006C1DB4">
        <w:rPr>
          <w:rFonts w:ascii="Rockwell" w:eastAsia="Times New Roman" w:hAnsi="Rockwell" w:cs="Times New Roman"/>
          <w:sz w:val="24"/>
          <w:szCs w:val="24"/>
        </w:rPr>
        <w:t>the time scales to meet the required remediation level;</w:t>
      </w:r>
    </w:p>
    <w:p w:rsidR="000A511C" w:rsidRPr="006C1DB4" w:rsidRDefault="000A511C" w:rsidP="000A511C">
      <w:pPr>
        <w:pStyle w:val="ListParagraph"/>
        <w:numPr>
          <w:ilvl w:val="1"/>
          <w:numId w:val="16"/>
        </w:numPr>
        <w:spacing w:before="240" w:after="240"/>
        <w:jc w:val="both"/>
        <w:rPr>
          <w:rFonts w:ascii="Rockwell" w:eastAsia="Times New Roman" w:hAnsi="Rockwell" w:cs="Times New Roman"/>
          <w:sz w:val="24"/>
          <w:szCs w:val="24"/>
        </w:rPr>
      </w:pPr>
      <w:r w:rsidRPr="006C1DB4">
        <w:rPr>
          <w:rFonts w:ascii="Rockwell" w:eastAsia="Times New Roman" w:hAnsi="Rockwell" w:cs="Times New Roman"/>
          <w:sz w:val="24"/>
          <w:szCs w:val="24"/>
        </w:rPr>
        <w:t>the compliance history of the operator;</w:t>
      </w:r>
    </w:p>
    <w:p w:rsidR="000A511C" w:rsidRPr="006C1DB4" w:rsidRDefault="000A511C" w:rsidP="000A511C">
      <w:pPr>
        <w:pStyle w:val="ListParagraph"/>
        <w:numPr>
          <w:ilvl w:val="1"/>
          <w:numId w:val="16"/>
        </w:numPr>
        <w:spacing w:before="240" w:after="240"/>
        <w:jc w:val="both"/>
        <w:rPr>
          <w:rFonts w:ascii="Rockwell" w:eastAsia="Times New Roman" w:hAnsi="Rockwell" w:cs="Times New Roman"/>
          <w:sz w:val="24"/>
          <w:szCs w:val="24"/>
        </w:rPr>
      </w:pPr>
      <w:r w:rsidRPr="006C1DB4">
        <w:rPr>
          <w:rFonts w:ascii="Rockwell" w:eastAsia="Times New Roman" w:hAnsi="Rockwell" w:cs="Times New Roman"/>
          <w:sz w:val="24"/>
          <w:szCs w:val="24"/>
        </w:rPr>
        <w:t>the compatible after-use plans of the site;</w:t>
      </w:r>
    </w:p>
    <w:p w:rsidR="004B6E66" w:rsidRPr="006C1DB4" w:rsidRDefault="000A511C" w:rsidP="000A511C">
      <w:pPr>
        <w:pStyle w:val="ListParagraph"/>
        <w:numPr>
          <w:ilvl w:val="1"/>
          <w:numId w:val="16"/>
        </w:numPr>
        <w:autoSpaceDE w:val="0"/>
        <w:autoSpaceDN w:val="0"/>
        <w:adjustRightInd w:val="0"/>
        <w:spacing w:after="120"/>
        <w:jc w:val="both"/>
        <w:rPr>
          <w:rFonts w:ascii="Rockwell" w:eastAsia="Times New Roman" w:hAnsi="Rockwell" w:cs="Times New Roman"/>
          <w:sz w:val="24"/>
          <w:szCs w:val="24"/>
        </w:rPr>
      </w:pPr>
      <w:r w:rsidRPr="006C1DB4">
        <w:rPr>
          <w:rFonts w:ascii="Rockwell" w:eastAsia="Times New Roman" w:hAnsi="Rockwell" w:cs="Times New Roman"/>
          <w:sz w:val="24"/>
          <w:szCs w:val="24"/>
        </w:rPr>
        <w:t xml:space="preserve">the involvement of stakeholders, project affected populations and surrounding community; </w:t>
      </w:r>
    </w:p>
    <w:p w:rsidR="005E37E3" w:rsidRPr="006C1DB4" w:rsidRDefault="005E37E3" w:rsidP="005E37E3">
      <w:pPr>
        <w:pStyle w:val="ListParagraph"/>
        <w:numPr>
          <w:ilvl w:val="1"/>
          <w:numId w:val="16"/>
        </w:numPr>
        <w:spacing w:before="240" w:after="240"/>
        <w:jc w:val="both"/>
        <w:rPr>
          <w:rFonts w:ascii="Rockwell" w:eastAsia="Times New Roman" w:hAnsi="Rockwell" w:cs="Times New Roman"/>
          <w:sz w:val="24"/>
          <w:szCs w:val="24"/>
        </w:rPr>
      </w:pPr>
      <w:r w:rsidRPr="006C1DB4">
        <w:rPr>
          <w:rFonts w:ascii="Rockwell" w:eastAsia="Times New Roman" w:hAnsi="Rockwell" w:cs="Times New Roman"/>
          <w:sz w:val="24"/>
          <w:szCs w:val="24"/>
        </w:rPr>
        <w:t>the ecological system recovery at the site;</w:t>
      </w:r>
    </w:p>
    <w:p w:rsidR="00D12CA1" w:rsidRPr="006C1DB4" w:rsidRDefault="00D12CA1" w:rsidP="00D12CA1">
      <w:pPr>
        <w:pStyle w:val="ListParagraph"/>
        <w:numPr>
          <w:ilvl w:val="1"/>
          <w:numId w:val="16"/>
        </w:numPr>
        <w:spacing w:before="240" w:after="240"/>
        <w:jc w:val="both"/>
        <w:rPr>
          <w:rFonts w:ascii="Rockwell" w:eastAsia="Times New Roman" w:hAnsi="Rockwell" w:cs="Times New Roman"/>
          <w:sz w:val="24"/>
          <w:szCs w:val="24"/>
        </w:rPr>
      </w:pPr>
      <w:r w:rsidRPr="006C1DB4">
        <w:rPr>
          <w:rFonts w:ascii="Rockwell" w:eastAsia="Times New Roman" w:hAnsi="Rockwell" w:cs="Times New Roman"/>
          <w:sz w:val="24"/>
          <w:szCs w:val="24"/>
        </w:rPr>
        <w:t>the state of recovery in comparison to the surrounding area</w:t>
      </w:r>
    </w:p>
    <w:p w:rsidR="000A511C" w:rsidRPr="006C1DB4" w:rsidRDefault="004B6E66" w:rsidP="004B6E66">
      <w:pPr>
        <w:pStyle w:val="ListParagraph"/>
        <w:numPr>
          <w:ilvl w:val="1"/>
          <w:numId w:val="16"/>
        </w:numPr>
        <w:spacing w:before="240" w:after="240"/>
        <w:jc w:val="both"/>
        <w:rPr>
          <w:rFonts w:ascii="Rockwell" w:eastAsia="Times New Roman" w:hAnsi="Rockwell" w:cs="Times New Roman"/>
          <w:sz w:val="24"/>
          <w:szCs w:val="24"/>
        </w:rPr>
      </w:pPr>
      <w:r w:rsidRPr="006C1DB4">
        <w:rPr>
          <w:rFonts w:ascii="Rockwell" w:eastAsia="Times New Roman" w:hAnsi="Rockwell" w:cs="Times New Roman"/>
          <w:sz w:val="24"/>
          <w:szCs w:val="24"/>
        </w:rPr>
        <w:t xml:space="preserve">the stability of the site under a range of seasonal conditions representative of that climate </w:t>
      </w:r>
      <w:r w:rsidR="000A511C" w:rsidRPr="006C1DB4">
        <w:rPr>
          <w:rFonts w:ascii="Rockwell" w:eastAsia="Times New Roman" w:hAnsi="Rockwell" w:cs="Times New Roman"/>
          <w:sz w:val="24"/>
          <w:szCs w:val="24"/>
        </w:rPr>
        <w:t>and</w:t>
      </w:r>
    </w:p>
    <w:p w:rsidR="000A511C" w:rsidRPr="006C1DB4" w:rsidRDefault="000A511C" w:rsidP="000A511C">
      <w:pPr>
        <w:pStyle w:val="ListParagraph"/>
        <w:numPr>
          <w:ilvl w:val="1"/>
          <w:numId w:val="16"/>
        </w:numPr>
        <w:autoSpaceDE w:val="0"/>
        <w:autoSpaceDN w:val="0"/>
        <w:adjustRightInd w:val="0"/>
        <w:spacing w:after="120"/>
        <w:jc w:val="both"/>
        <w:rPr>
          <w:rFonts w:ascii="Rockwell" w:eastAsia="Times New Roman" w:hAnsi="Rockwell" w:cs="Times New Roman"/>
          <w:sz w:val="24"/>
          <w:szCs w:val="24"/>
        </w:rPr>
      </w:pPr>
      <w:proofErr w:type="gramStart"/>
      <w:r w:rsidRPr="006C1DB4">
        <w:rPr>
          <w:rFonts w:ascii="Rockwell" w:eastAsia="Times New Roman" w:hAnsi="Rockwell" w:cs="Times New Roman"/>
          <w:sz w:val="24"/>
          <w:szCs w:val="24"/>
        </w:rPr>
        <w:t>any</w:t>
      </w:r>
      <w:proofErr w:type="gramEnd"/>
      <w:r w:rsidRPr="006C1DB4">
        <w:rPr>
          <w:rFonts w:ascii="Rockwell" w:eastAsia="Times New Roman" w:hAnsi="Rockwell" w:cs="Times New Roman"/>
          <w:sz w:val="24"/>
          <w:szCs w:val="24"/>
        </w:rPr>
        <w:t xml:space="preserve"> other factor as may be determined by the Authority.</w:t>
      </w:r>
    </w:p>
    <w:p w:rsidR="000A511C" w:rsidRPr="000A511C" w:rsidRDefault="000A511C" w:rsidP="000A511C">
      <w:pPr>
        <w:spacing w:before="240" w:after="240"/>
        <w:jc w:val="both"/>
        <w:rPr>
          <w:rFonts w:ascii="Rockwell" w:eastAsia="Times New Roman" w:hAnsi="Rockwell" w:cs="Times New Roman"/>
          <w:sz w:val="24"/>
          <w:szCs w:val="24"/>
        </w:rPr>
      </w:pPr>
      <w:r>
        <w:rPr>
          <w:rFonts w:ascii="Rockwell" w:eastAsia="Times New Roman" w:hAnsi="Rockwell" w:cs="Times New Roman"/>
          <w:sz w:val="24"/>
          <w:szCs w:val="24"/>
        </w:rPr>
        <w:t xml:space="preserve">After inspections </w:t>
      </w:r>
      <w:r w:rsidRPr="000A511C">
        <w:rPr>
          <w:rFonts w:ascii="Rockwell" w:eastAsia="Times New Roman" w:hAnsi="Rockwell" w:cs="Times New Roman"/>
          <w:sz w:val="24"/>
          <w:szCs w:val="24"/>
        </w:rPr>
        <w:t>and establishing that the operator has observed good environmental practices</w:t>
      </w:r>
      <w:r>
        <w:rPr>
          <w:rFonts w:ascii="Rockwell" w:eastAsia="Times New Roman" w:hAnsi="Rockwell" w:cs="Times New Roman"/>
          <w:sz w:val="24"/>
          <w:szCs w:val="24"/>
        </w:rPr>
        <w:t>, the Authority shall issue a bond discharge certificate</w:t>
      </w:r>
      <w:r w:rsidRPr="000A511C">
        <w:rPr>
          <w:rFonts w:ascii="Rockwell" w:eastAsia="Times New Roman" w:hAnsi="Rockwell" w:cs="Times New Roman"/>
          <w:sz w:val="24"/>
          <w:szCs w:val="24"/>
        </w:rPr>
        <w:t>.</w:t>
      </w:r>
    </w:p>
    <w:p w:rsidR="006822F2" w:rsidRPr="004A76D7" w:rsidRDefault="00AD5D8B" w:rsidP="000E7DFC">
      <w:pPr>
        <w:spacing w:before="240"/>
        <w:jc w:val="both"/>
        <w:rPr>
          <w:rFonts w:ascii="Rockwell" w:eastAsia="Times New Roman" w:hAnsi="Rockwell" w:cs="Times New Roman"/>
          <w:sz w:val="24"/>
          <w:szCs w:val="24"/>
          <w:highlight w:val="yellow"/>
        </w:rPr>
      </w:pPr>
      <w:r w:rsidRPr="004A76D7">
        <w:rPr>
          <w:rFonts w:ascii="Rockwell" w:eastAsia="Times New Roman" w:hAnsi="Rockwell" w:cs="Times New Roman"/>
          <w:sz w:val="24"/>
          <w:szCs w:val="24"/>
        </w:rPr>
        <w:t xml:space="preserve">The refund </w:t>
      </w:r>
      <w:r w:rsidR="000A511C">
        <w:rPr>
          <w:rFonts w:ascii="Rockwell" w:eastAsia="Times New Roman" w:hAnsi="Rockwell" w:cs="Times New Roman"/>
          <w:sz w:val="24"/>
          <w:szCs w:val="24"/>
        </w:rPr>
        <w:t xml:space="preserve">of the bond </w:t>
      </w:r>
      <w:r w:rsidRPr="004A76D7">
        <w:rPr>
          <w:rFonts w:ascii="Rockwell" w:eastAsia="Times New Roman" w:hAnsi="Rockwell" w:cs="Times New Roman"/>
          <w:sz w:val="24"/>
          <w:szCs w:val="24"/>
        </w:rPr>
        <w:t xml:space="preserve">will be done without the interest accrued </w:t>
      </w:r>
      <w:r w:rsidR="000A511C">
        <w:rPr>
          <w:rFonts w:ascii="Rockwell" w:eastAsia="Times New Roman" w:hAnsi="Rockwell" w:cs="Times New Roman"/>
          <w:sz w:val="24"/>
          <w:szCs w:val="24"/>
        </w:rPr>
        <w:t>within six (6) months after issuance of the bond discharge certificate by the Authority.</w:t>
      </w:r>
    </w:p>
    <w:p w:rsidR="006822F2" w:rsidRPr="004A76D7" w:rsidRDefault="004B6E66" w:rsidP="000E7DFC">
      <w:pPr>
        <w:pStyle w:val="Heading1"/>
        <w:jc w:val="both"/>
        <w:rPr>
          <w:rFonts w:ascii="Rockwell" w:eastAsia="Times New Roman" w:hAnsi="Rockwell" w:cs="Times New Roman"/>
          <w:b/>
          <w:sz w:val="24"/>
          <w:szCs w:val="24"/>
        </w:rPr>
      </w:pPr>
      <w:bookmarkStart w:id="21" w:name="_Toc209047108"/>
      <w:r>
        <w:rPr>
          <w:rFonts w:ascii="Rockwell" w:eastAsia="Times New Roman" w:hAnsi="Rockwell" w:cs="Times New Roman"/>
          <w:b/>
          <w:sz w:val="24"/>
          <w:szCs w:val="24"/>
        </w:rPr>
        <w:t>3.6</w:t>
      </w:r>
      <w:r w:rsidR="00AD5D8B" w:rsidRPr="004A76D7">
        <w:rPr>
          <w:rFonts w:ascii="Rockwell" w:eastAsia="Times New Roman" w:hAnsi="Rockwell" w:cs="Times New Roman"/>
          <w:b/>
          <w:sz w:val="24"/>
          <w:szCs w:val="24"/>
        </w:rPr>
        <w:t xml:space="preserve"> Confiscation of the</w:t>
      </w:r>
      <w:r w:rsidR="00AD5D8B" w:rsidRPr="004A76D7">
        <w:rPr>
          <w:rFonts w:ascii="Rockwell" w:eastAsia="Times New Roman" w:hAnsi="Rockwell" w:cs="Times New Roman"/>
          <w:sz w:val="24"/>
          <w:szCs w:val="24"/>
        </w:rPr>
        <w:t xml:space="preserve"> </w:t>
      </w:r>
      <w:r w:rsidR="00AD5D8B" w:rsidRPr="004A76D7">
        <w:rPr>
          <w:rFonts w:ascii="Rockwell" w:eastAsia="Times New Roman" w:hAnsi="Rockwell" w:cs="Times New Roman"/>
          <w:b/>
          <w:sz w:val="24"/>
          <w:szCs w:val="24"/>
        </w:rPr>
        <w:t>Environmental Deposit Bond</w:t>
      </w:r>
      <w:bookmarkEnd w:id="21"/>
    </w:p>
    <w:p w:rsidR="006822F2" w:rsidRPr="004A76D7" w:rsidRDefault="00AD5D8B"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Confiscation of the Environmental Deposit Bond occurs when a regulatory authority seizes or withholds the financial bond set aside by a company or project operator due to their failure to meet environmental obligations. The bond, originally deposited as a guarantee for environmental remediation or restoration, is confiscated to ensure that sufficient funds are available to address environmental damage or degradation </w:t>
      </w:r>
      <w:r w:rsidR="005A6D43">
        <w:rPr>
          <w:rFonts w:ascii="Rockwell" w:eastAsia="Times New Roman" w:hAnsi="Rockwell" w:cs="Times New Roman"/>
          <w:sz w:val="24"/>
          <w:szCs w:val="24"/>
        </w:rPr>
        <w:t>related to the operator</w:t>
      </w:r>
      <w:r w:rsidRPr="004A76D7">
        <w:rPr>
          <w:rFonts w:ascii="Rockwell" w:eastAsia="Times New Roman" w:hAnsi="Rockwell" w:cs="Times New Roman"/>
          <w:sz w:val="24"/>
          <w:szCs w:val="24"/>
        </w:rPr>
        <w:t>.</w:t>
      </w:r>
    </w:p>
    <w:p w:rsidR="006822F2"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Where the operator </w:t>
      </w:r>
      <w:r w:rsidR="00AD5D8B" w:rsidRPr="004A76D7">
        <w:rPr>
          <w:rFonts w:ascii="Rockwell" w:eastAsia="Times New Roman" w:hAnsi="Rockwell" w:cs="Times New Roman"/>
          <w:sz w:val="24"/>
          <w:szCs w:val="24"/>
        </w:rPr>
        <w:t xml:space="preserve">defaults on their remediation obligations and the Authority must undertake remediation works </w:t>
      </w:r>
      <w:r w:rsidR="00DF2092">
        <w:rPr>
          <w:rFonts w:ascii="Rockwell" w:eastAsia="Times New Roman" w:hAnsi="Rockwell" w:cs="Times New Roman"/>
          <w:sz w:val="24"/>
          <w:szCs w:val="24"/>
        </w:rPr>
        <w:t>related to its operations</w:t>
      </w:r>
      <w:r w:rsidR="00AD5D8B" w:rsidRPr="004A76D7">
        <w:rPr>
          <w:rFonts w:ascii="Rockwell" w:eastAsia="Times New Roman" w:hAnsi="Rockwell" w:cs="Times New Roman"/>
          <w:sz w:val="24"/>
          <w:szCs w:val="24"/>
        </w:rPr>
        <w:t>, the amount of bond refunded will be the remaining monies after all costs for the work have been deducted. Where the cost incurred by the Authority for the remediation works exceeds the amount held in bond, the balance of such cost shall be recovered from the operator.</w:t>
      </w:r>
    </w:p>
    <w:p w:rsidR="00345D8F" w:rsidRPr="003E0532" w:rsidRDefault="00345D8F" w:rsidP="000E7DFC">
      <w:pPr>
        <w:spacing w:before="240" w:after="240"/>
        <w:jc w:val="both"/>
        <w:rPr>
          <w:rFonts w:ascii="Rockwell" w:hAnsi="Rockwell"/>
          <w:color w:val="000000"/>
          <w:sz w:val="24"/>
          <w:szCs w:val="24"/>
          <w:lang w:val="en-GB"/>
        </w:rPr>
      </w:pPr>
      <w:r w:rsidRPr="003E0532">
        <w:rPr>
          <w:rFonts w:ascii="Rockwell" w:hAnsi="Rockwell"/>
          <w:color w:val="000000"/>
          <w:sz w:val="24"/>
          <w:szCs w:val="24"/>
          <w:lang w:val="en-GB"/>
        </w:rPr>
        <w:t>The procedure for confiscation is as stated below;</w:t>
      </w:r>
    </w:p>
    <w:p w:rsidR="00345D8F" w:rsidRPr="003E0532" w:rsidRDefault="00345D8F" w:rsidP="000E7DFC">
      <w:pPr>
        <w:pStyle w:val="ListParagraph"/>
        <w:numPr>
          <w:ilvl w:val="0"/>
          <w:numId w:val="18"/>
        </w:numPr>
        <w:spacing w:before="240" w:after="240"/>
        <w:jc w:val="both"/>
        <w:rPr>
          <w:rFonts w:ascii="Rockwell" w:hAnsi="Rockwell"/>
          <w:color w:val="000000"/>
          <w:sz w:val="24"/>
          <w:szCs w:val="24"/>
          <w:lang w:val="en-GB"/>
        </w:rPr>
      </w:pPr>
      <w:r w:rsidRPr="003E0532">
        <w:rPr>
          <w:rFonts w:ascii="Rockwell" w:hAnsi="Rockwell"/>
          <w:color w:val="000000"/>
          <w:sz w:val="24"/>
          <w:szCs w:val="24"/>
          <w:lang w:val="en-GB"/>
        </w:rPr>
        <w:t xml:space="preserve">The Authority shall issue a notice </w:t>
      </w:r>
      <w:r w:rsidR="005A6D43">
        <w:rPr>
          <w:rFonts w:ascii="Rockwell" w:hAnsi="Rockwell"/>
          <w:color w:val="000000"/>
          <w:sz w:val="24"/>
          <w:szCs w:val="24"/>
          <w:lang w:val="en-GB"/>
        </w:rPr>
        <w:t xml:space="preserve">in writing </w:t>
      </w:r>
      <w:r w:rsidRPr="003E0532">
        <w:rPr>
          <w:rFonts w:ascii="Rockwell" w:hAnsi="Rockwell"/>
          <w:color w:val="000000"/>
          <w:sz w:val="24"/>
          <w:szCs w:val="24"/>
          <w:lang w:val="en-GB"/>
        </w:rPr>
        <w:t>of confiscation to the operator;</w:t>
      </w:r>
    </w:p>
    <w:p w:rsidR="00345D8F" w:rsidRPr="003E0532" w:rsidRDefault="00345D8F" w:rsidP="000E7DFC">
      <w:pPr>
        <w:pStyle w:val="ListParagraph"/>
        <w:numPr>
          <w:ilvl w:val="0"/>
          <w:numId w:val="18"/>
        </w:numPr>
        <w:spacing w:before="240" w:after="240"/>
        <w:jc w:val="both"/>
        <w:rPr>
          <w:rFonts w:ascii="Rockwell" w:hAnsi="Rockwell"/>
          <w:color w:val="000000"/>
          <w:sz w:val="24"/>
          <w:szCs w:val="24"/>
          <w:lang w:val="en-GB"/>
        </w:rPr>
      </w:pPr>
      <w:r w:rsidRPr="003E0532">
        <w:rPr>
          <w:rFonts w:ascii="Rockwell" w:hAnsi="Rockwell"/>
          <w:color w:val="000000"/>
          <w:sz w:val="24"/>
          <w:szCs w:val="24"/>
          <w:lang w:val="en-GB"/>
        </w:rPr>
        <w:lastRenderedPageBreak/>
        <w:t>T</w:t>
      </w:r>
      <w:r w:rsidRPr="003E0532">
        <w:rPr>
          <w:rFonts w:ascii="Rockwell" w:eastAsia="Times New Roman" w:hAnsi="Rockwell"/>
          <w:color w:val="000000"/>
          <w:sz w:val="24"/>
          <w:szCs w:val="24"/>
          <w:lang w:val="en-GB" w:eastAsia="x-none"/>
        </w:rPr>
        <w:t>he operator shall be required to respond to the notice within fourteen days of receipt of the notice;</w:t>
      </w:r>
    </w:p>
    <w:p w:rsidR="00345D8F" w:rsidRPr="003E0532" w:rsidRDefault="00345D8F" w:rsidP="000E7DFC">
      <w:pPr>
        <w:pStyle w:val="ListParagraph"/>
        <w:numPr>
          <w:ilvl w:val="0"/>
          <w:numId w:val="18"/>
        </w:numPr>
        <w:spacing w:before="240" w:after="240"/>
        <w:jc w:val="both"/>
        <w:rPr>
          <w:rFonts w:ascii="Rockwell" w:eastAsia="Times New Roman" w:hAnsi="Rockwell"/>
          <w:color w:val="000000"/>
          <w:sz w:val="24"/>
          <w:szCs w:val="24"/>
          <w:lang w:val="en-GB" w:eastAsia="x-none"/>
        </w:rPr>
      </w:pPr>
      <w:r w:rsidRPr="003E0532">
        <w:rPr>
          <w:rFonts w:ascii="Rockwell" w:eastAsia="Times New Roman" w:hAnsi="Rockwell"/>
          <w:color w:val="000000"/>
          <w:sz w:val="24"/>
          <w:szCs w:val="24"/>
          <w:lang w:val="en-GB" w:eastAsia="x-none"/>
        </w:rPr>
        <w:t xml:space="preserve">Where the operator fails to respond to the notice, the Authority </w:t>
      </w:r>
      <w:r w:rsidR="005A6D43">
        <w:rPr>
          <w:rFonts w:ascii="Rockwell" w:eastAsia="Times New Roman" w:hAnsi="Rockwell"/>
          <w:color w:val="000000"/>
          <w:sz w:val="24"/>
          <w:szCs w:val="24"/>
          <w:lang w:val="en-GB" w:eastAsia="x-none"/>
        </w:rPr>
        <w:t xml:space="preserve">may </w:t>
      </w:r>
      <w:r w:rsidRPr="003E0532">
        <w:rPr>
          <w:rFonts w:ascii="Rockwell" w:eastAsia="Times New Roman" w:hAnsi="Rockwell"/>
          <w:color w:val="000000"/>
          <w:sz w:val="24"/>
          <w:szCs w:val="24"/>
          <w:lang w:val="en-GB" w:eastAsia="x-none"/>
        </w:rPr>
        <w:t>confiscate the deposit bond without any further reference to the operator.</w:t>
      </w:r>
    </w:p>
    <w:p w:rsidR="00345D8F" w:rsidRPr="003E0532" w:rsidRDefault="00345D8F" w:rsidP="000E7DFC">
      <w:pPr>
        <w:pStyle w:val="ListParagraph"/>
        <w:numPr>
          <w:ilvl w:val="0"/>
          <w:numId w:val="18"/>
        </w:numPr>
        <w:spacing w:before="240" w:after="240"/>
        <w:jc w:val="both"/>
        <w:rPr>
          <w:rFonts w:ascii="Rockwell" w:eastAsia="Times New Roman" w:hAnsi="Rockwell"/>
          <w:color w:val="000000"/>
          <w:sz w:val="24"/>
          <w:szCs w:val="24"/>
          <w:lang w:val="en-GB" w:eastAsia="x-none"/>
        </w:rPr>
      </w:pPr>
      <w:r w:rsidRPr="003E0532">
        <w:rPr>
          <w:rFonts w:ascii="Rockwell" w:eastAsia="Times New Roman" w:hAnsi="Rockwell"/>
          <w:color w:val="000000"/>
          <w:sz w:val="24"/>
          <w:szCs w:val="24"/>
          <w:lang w:val="en-GB" w:eastAsia="x-none"/>
        </w:rPr>
        <w:t>Where the Authority receives a response from the operator, the Authority shall grant the operator an opportunity to be heard</w:t>
      </w:r>
      <w:r w:rsidR="005A6D43">
        <w:rPr>
          <w:rFonts w:ascii="Rockwell" w:eastAsia="Times New Roman" w:hAnsi="Rockwell"/>
          <w:color w:val="000000"/>
          <w:sz w:val="24"/>
          <w:szCs w:val="24"/>
          <w:lang w:val="en-GB" w:eastAsia="x-none"/>
        </w:rPr>
        <w:t xml:space="preserve"> and in that regard schedule a date for the hearing that shall be at least fourteen days after the response</w:t>
      </w:r>
      <w:r w:rsidRPr="003E0532">
        <w:rPr>
          <w:rFonts w:ascii="Rockwell" w:eastAsia="Times New Roman" w:hAnsi="Rockwell"/>
          <w:color w:val="000000"/>
          <w:sz w:val="24"/>
          <w:szCs w:val="24"/>
          <w:lang w:val="en-GB" w:eastAsia="x-none"/>
        </w:rPr>
        <w:t>;</w:t>
      </w:r>
    </w:p>
    <w:p w:rsidR="00345D8F" w:rsidRPr="003E0532" w:rsidRDefault="00345D8F" w:rsidP="000E7DFC">
      <w:pPr>
        <w:pStyle w:val="ListParagraph"/>
        <w:numPr>
          <w:ilvl w:val="0"/>
          <w:numId w:val="18"/>
        </w:numPr>
        <w:spacing w:before="240" w:after="240"/>
        <w:jc w:val="both"/>
        <w:rPr>
          <w:rFonts w:ascii="Rockwell" w:eastAsia="Times New Roman" w:hAnsi="Rockwell"/>
          <w:color w:val="000000"/>
          <w:sz w:val="24"/>
          <w:szCs w:val="24"/>
          <w:lang w:val="en-GB" w:eastAsia="x-none"/>
        </w:rPr>
      </w:pPr>
      <w:r w:rsidRPr="003E0532">
        <w:rPr>
          <w:rFonts w:ascii="Rockwell" w:eastAsia="Times New Roman" w:hAnsi="Rockwell"/>
          <w:color w:val="000000"/>
          <w:sz w:val="24"/>
          <w:szCs w:val="24"/>
          <w:lang w:val="en-GB" w:eastAsia="x-none"/>
        </w:rPr>
        <w:t>The decision of the Authority shall be communicated to the operator within fourteen days from the date of the hearing;</w:t>
      </w:r>
    </w:p>
    <w:p w:rsidR="005A6D43" w:rsidRDefault="00345D8F" w:rsidP="000E7DFC">
      <w:pPr>
        <w:pStyle w:val="ListParagraph"/>
        <w:numPr>
          <w:ilvl w:val="0"/>
          <w:numId w:val="18"/>
        </w:numPr>
        <w:spacing w:before="240" w:after="240"/>
        <w:jc w:val="both"/>
        <w:rPr>
          <w:rFonts w:ascii="Rockwell" w:eastAsia="Times New Roman" w:hAnsi="Rockwell"/>
          <w:color w:val="000000"/>
          <w:sz w:val="24"/>
          <w:szCs w:val="24"/>
          <w:lang w:val="en-GB" w:eastAsia="x-none"/>
        </w:rPr>
      </w:pPr>
      <w:r w:rsidRPr="003E0532">
        <w:rPr>
          <w:rFonts w:ascii="Rockwell" w:eastAsia="Times New Roman" w:hAnsi="Rockwell"/>
          <w:color w:val="000000"/>
          <w:sz w:val="24"/>
          <w:szCs w:val="24"/>
          <w:lang w:val="en-GB" w:eastAsia="x-none"/>
        </w:rPr>
        <w:t>Upon hearing a matter under thi</w:t>
      </w:r>
      <w:r w:rsidR="005A6D43">
        <w:rPr>
          <w:rFonts w:ascii="Rockwell" w:eastAsia="Times New Roman" w:hAnsi="Rockwell"/>
          <w:color w:val="000000"/>
          <w:sz w:val="24"/>
          <w:szCs w:val="24"/>
          <w:lang w:val="en-GB" w:eastAsia="x-none"/>
        </w:rPr>
        <w:t>s regulation, the Authority may;</w:t>
      </w:r>
    </w:p>
    <w:p w:rsidR="005A6D43" w:rsidRDefault="00345D8F" w:rsidP="005A6D43">
      <w:pPr>
        <w:pStyle w:val="ListParagraph"/>
        <w:numPr>
          <w:ilvl w:val="1"/>
          <w:numId w:val="18"/>
        </w:numPr>
        <w:spacing w:before="240" w:after="240"/>
        <w:jc w:val="both"/>
        <w:rPr>
          <w:rFonts w:ascii="Rockwell" w:eastAsia="Times New Roman" w:hAnsi="Rockwell"/>
          <w:color w:val="000000"/>
          <w:sz w:val="24"/>
          <w:szCs w:val="24"/>
          <w:lang w:val="en-GB" w:eastAsia="x-none"/>
        </w:rPr>
      </w:pPr>
      <w:r w:rsidRPr="003E0532">
        <w:rPr>
          <w:rFonts w:ascii="Rockwell" w:eastAsia="Times New Roman" w:hAnsi="Rockwell"/>
          <w:color w:val="000000"/>
          <w:sz w:val="24"/>
          <w:szCs w:val="24"/>
          <w:lang w:val="en-GB" w:eastAsia="x-none"/>
        </w:rPr>
        <w:t>issue a notice requiring the operator to restore the affected media within the time specified by the Authority;</w:t>
      </w:r>
    </w:p>
    <w:p w:rsidR="005A6D43" w:rsidRDefault="00345D8F" w:rsidP="005A6D43">
      <w:pPr>
        <w:pStyle w:val="ListParagraph"/>
        <w:numPr>
          <w:ilvl w:val="1"/>
          <w:numId w:val="18"/>
        </w:numPr>
        <w:spacing w:before="240" w:after="240"/>
        <w:jc w:val="both"/>
        <w:rPr>
          <w:rFonts w:ascii="Rockwell" w:eastAsia="Times New Roman" w:hAnsi="Rockwell"/>
          <w:color w:val="000000"/>
          <w:sz w:val="24"/>
          <w:szCs w:val="24"/>
          <w:lang w:val="en-GB" w:eastAsia="x-none"/>
        </w:rPr>
      </w:pPr>
      <w:r w:rsidRPr="005A6D43">
        <w:rPr>
          <w:rFonts w:ascii="Rockwell" w:eastAsia="Times New Roman" w:hAnsi="Rockwell"/>
          <w:color w:val="000000"/>
          <w:sz w:val="24"/>
          <w:szCs w:val="24"/>
          <w:lang w:val="en-GB" w:eastAsia="x-none"/>
        </w:rPr>
        <w:t xml:space="preserve">where the operator fails to remediate the affected media to the satisfaction of the Authority, the Authority shall confiscate and within sixty days initiate the process to use the deposit </w:t>
      </w:r>
      <w:r w:rsidR="005A6D43" w:rsidRPr="005A6D43">
        <w:rPr>
          <w:rFonts w:ascii="Rockwell" w:eastAsia="Times New Roman" w:hAnsi="Rockwell"/>
          <w:color w:val="000000"/>
          <w:sz w:val="24"/>
          <w:szCs w:val="24"/>
          <w:lang w:val="en-GB" w:eastAsia="x-none"/>
        </w:rPr>
        <w:t xml:space="preserve">bond </w:t>
      </w:r>
      <w:r w:rsidRPr="005A6D43">
        <w:rPr>
          <w:rFonts w:ascii="Rockwell" w:eastAsia="Times New Roman" w:hAnsi="Rockwell"/>
          <w:color w:val="000000"/>
          <w:sz w:val="24"/>
          <w:szCs w:val="24"/>
          <w:lang w:val="en-GB" w:eastAsia="x-none"/>
        </w:rPr>
        <w:t xml:space="preserve">towards restoration of the affected media and thereafter prepare and publish a financial report in the </w:t>
      </w:r>
      <w:r w:rsidRPr="005A6D43">
        <w:rPr>
          <w:rFonts w:ascii="Rockwell" w:eastAsia="Times New Roman" w:hAnsi="Rockwell"/>
          <w:i/>
          <w:iCs/>
          <w:color w:val="000000"/>
          <w:sz w:val="24"/>
          <w:szCs w:val="24"/>
          <w:lang w:val="en-GB" w:eastAsia="x-none"/>
        </w:rPr>
        <w:t>Gazette</w:t>
      </w:r>
      <w:r w:rsidRPr="005A6D43">
        <w:rPr>
          <w:rFonts w:ascii="Rockwell" w:eastAsia="Times New Roman" w:hAnsi="Rockwell"/>
          <w:color w:val="000000"/>
          <w:sz w:val="24"/>
          <w:szCs w:val="24"/>
          <w:lang w:val="en-GB" w:eastAsia="x-none"/>
        </w:rPr>
        <w:t xml:space="preserve"> on how the </w:t>
      </w:r>
      <w:r w:rsidR="005A6D43" w:rsidRPr="005A6D43">
        <w:rPr>
          <w:rFonts w:ascii="Rockwell" w:eastAsia="Times New Roman" w:hAnsi="Rockwell"/>
          <w:color w:val="000000"/>
          <w:sz w:val="24"/>
          <w:szCs w:val="24"/>
          <w:lang w:val="en-GB" w:eastAsia="x-none"/>
        </w:rPr>
        <w:t xml:space="preserve">funds in the </w:t>
      </w:r>
      <w:r w:rsidRPr="005A6D43">
        <w:rPr>
          <w:rFonts w:ascii="Rockwell" w:eastAsia="Times New Roman" w:hAnsi="Rockwell"/>
          <w:color w:val="000000"/>
          <w:sz w:val="24"/>
          <w:szCs w:val="24"/>
          <w:lang w:val="en-GB" w:eastAsia="x-none"/>
        </w:rPr>
        <w:t xml:space="preserve">deposit bond were utilised; </w:t>
      </w:r>
    </w:p>
    <w:p w:rsidR="00345D8F" w:rsidRPr="005A6D43" w:rsidRDefault="00345D8F" w:rsidP="005A6D43">
      <w:pPr>
        <w:pStyle w:val="ListParagraph"/>
        <w:numPr>
          <w:ilvl w:val="1"/>
          <w:numId w:val="18"/>
        </w:numPr>
        <w:spacing w:before="240" w:after="240"/>
        <w:jc w:val="both"/>
        <w:rPr>
          <w:rFonts w:ascii="Rockwell" w:eastAsia="Times New Roman" w:hAnsi="Rockwell"/>
          <w:color w:val="000000"/>
          <w:sz w:val="24"/>
          <w:szCs w:val="24"/>
          <w:lang w:val="en-GB" w:eastAsia="x-none"/>
        </w:rPr>
      </w:pPr>
      <w:r w:rsidRPr="005A6D43">
        <w:rPr>
          <w:rFonts w:ascii="Rockwell" w:eastAsia="Times New Roman" w:hAnsi="Rockwell"/>
          <w:color w:val="000000"/>
          <w:sz w:val="24"/>
          <w:szCs w:val="24"/>
          <w:lang w:val="en-GB" w:eastAsia="x-none"/>
        </w:rPr>
        <w:t xml:space="preserve">or may consider </w:t>
      </w:r>
      <w:r w:rsidRPr="005A6D43">
        <w:rPr>
          <w:rFonts w:ascii="Rockwell" w:eastAsia="Times New Roman" w:hAnsi="Rockwell"/>
          <w:color w:val="000000"/>
          <w:sz w:val="24"/>
          <w:szCs w:val="24"/>
          <w:lang w:val="x-none" w:eastAsia="x-none"/>
        </w:rPr>
        <w:t>cancel</w:t>
      </w:r>
      <w:r w:rsidRPr="005A6D43">
        <w:rPr>
          <w:rFonts w:ascii="Rockwell" w:eastAsia="Times New Roman" w:hAnsi="Rockwell"/>
          <w:color w:val="000000"/>
          <w:sz w:val="24"/>
          <w:szCs w:val="24"/>
          <w:lang w:val="en-US" w:eastAsia="x-none"/>
        </w:rPr>
        <w:t>ation of</w:t>
      </w:r>
      <w:r w:rsidRPr="005A6D43">
        <w:rPr>
          <w:rFonts w:ascii="Rockwell" w:eastAsia="Times New Roman" w:hAnsi="Rockwell"/>
          <w:color w:val="000000"/>
          <w:sz w:val="24"/>
          <w:szCs w:val="24"/>
          <w:lang w:val="x-none" w:eastAsia="x-none"/>
        </w:rPr>
        <w:t xml:space="preserve"> any license issued to the operator under the </w:t>
      </w:r>
      <w:r w:rsidRPr="005A6D43">
        <w:rPr>
          <w:rFonts w:ascii="Rockwell" w:eastAsia="Times New Roman" w:hAnsi="Rockwell"/>
          <w:color w:val="000000"/>
          <w:sz w:val="24"/>
          <w:szCs w:val="24"/>
          <w:lang w:val="en-GB" w:eastAsia="x-none"/>
        </w:rPr>
        <w:t>Act on the a</w:t>
      </w:r>
      <w:r w:rsidR="005A6D43" w:rsidRPr="005A6D43">
        <w:rPr>
          <w:rFonts w:ascii="Rockwell" w:eastAsia="Times New Roman" w:hAnsi="Rockwell"/>
          <w:color w:val="000000"/>
          <w:sz w:val="24"/>
          <w:szCs w:val="24"/>
          <w:lang w:val="en-GB" w:eastAsia="x-none"/>
        </w:rPr>
        <w:t>dvice of the Committee</w:t>
      </w:r>
      <w:r w:rsidRPr="005A6D43">
        <w:rPr>
          <w:rFonts w:ascii="Rockwell" w:eastAsia="Times New Roman" w:hAnsi="Rockwell"/>
          <w:color w:val="000000"/>
          <w:sz w:val="24"/>
          <w:szCs w:val="24"/>
          <w:lang w:val="x-none" w:eastAsia="x-none"/>
        </w:rPr>
        <w:t>,</w:t>
      </w:r>
      <w:r w:rsidRPr="005A6D43">
        <w:rPr>
          <w:rFonts w:ascii="Rockwell" w:eastAsia="Times New Roman" w:hAnsi="Rockwell"/>
          <w:color w:val="000000"/>
          <w:sz w:val="24"/>
          <w:szCs w:val="24"/>
          <w:lang w:val="en-GB" w:eastAsia="x-none"/>
        </w:rPr>
        <w:t xml:space="preserve"> where</w:t>
      </w:r>
      <w:r w:rsidRPr="005A6D43">
        <w:rPr>
          <w:rFonts w:ascii="Rockwell" w:eastAsia="Times New Roman" w:hAnsi="Rockwell"/>
          <w:color w:val="000000"/>
          <w:sz w:val="24"/>
          <w:szCs w:val="24"/>
          <w:lang w:val="x-none" w:eastAsia="x-none"/>
        </w:rPr>
        <w:t xml:space="preserve"> the operator</w:t>
      </w:r>
      <w:r w:rsidR="003E0532" w:rsidRPr="005A6D43">
        <w:rPr>
          <w:rFonts w:ascii="Rockwell" w:eastAsia="Times New Roman" w:hAnsi="Rockwell"/>
          <w:color w:val="000000"/>
          <w:sz w:val="24"/>
          <w:szCs w:val="24"/>
          <w:lang w:val="x-none" w:eastAsia="x-none"/>
        </w:rPr>
        <w:t xml:space="preserve"> has become a habitual offender</w:t>
      </w:r>
      <w:r w:rsidR="003E0532" w:rsidRPr="005A6D43">
        <w:rPr>
          <w:rFonts w:ascii="Rockwell" w:eastAsia="Times New Roman" w:hAnsi="Rockwell"/>
          <w:color w:val="000000"/>
          <w:sz w:val="24"/>
          <w:szCs w:val="24"/>
          <w:lang w:val="en-US" w:eastAsia="x-none"/>
        </w:rPr>
        <w:t>;</w:t>
      </w:r>
    </w:p>
    <w:p w:rsidR="003E0532" w:rsidRPr="003E0532" w:rsidRDefault="00345D8F" w:rsidP="000E7DFC">
      <w:pPr>
        <w:pStyle w:val="ListParagraph"/>
        <w:numPr>
          <w:ilvl w:val="0"/>
          <w:numId w:val="18"/>
        </w:numPr>
        <w:spacing w:before="240" w:after="240"/>
        <w:jc w:val="both"/>
        <w:rPr>
          <w:rFonts w:ascii="Rockwell" w:hAnsi="Rockwell"/>
          <w:color w:val="000000"/>
          <w:sz w:val="24"/>
          <w:szCs w:val="24"/>
          <w:lang w:val="en-US"/>
        </w:rPr>
      </w:pPr>
      <w:r w:rsidRPr="003E0532">
        <w:rPr>
          <w:rFonts w:ascii="Rockwell" w:hAnsi="Rockwell"/>
          <w:color w:val="000000"/>
          <w:sz w:val="24"/>
          <w:szCs w:val="24"/>
          <w:lang w:val="en-GB"/>
        </w:rPr>
        <w:t xml:space="preserve">Where the cost of remediation exceeds the deposit bond amount confiscated, the balance of such costs shall be recovered </w:t>
      </w:r>
      <w:r w:rsidR="003E0532" w:rsidRPr="003E0532">
        <w:rPr>
          <w:rFonts w:ascii="Rockwell" w:hAnsi="Rockwell"/>
          <w:color w:val="000000"/>
          <w:sz w:val="24"/>
          <w:szCs w:val="24"/>
          <w:lang w:val="en-GB"/>
        </w:rPr>
        <w:t>from the operator;</w:t>
      </w:r>
    </w:p>
    <w:p w:rsidR="003E0532" w:rsidRPr="003E0532" w:rsidRDefault="00345D8F" w:rsidP="000E7DFC">
      <w:pPr>
        <w:pStyle w:val="ListParagraph"/>
        <w:numPr>
          <w:ilvl w:val="0"/>
          <w:numId w:val="18"/>
        </w:numPr>
        <w:spacing w:before="240" w:after="240"/>
        <w:jc w:val="both"/>
        <w:rPr>
          <w:rFonts w:ascii="Rockwell" w:eastAsia="Times New Roman" w:hAnsi="Rockwell" w:cs="Times New Roman"/>
          <w:sz w:val="24"/>
          <w:szCs w:val="24"/>
        </w:rPr>
      </w:pPr>
      <w:r w:rsidRPr="003E0532">
        <w:rPr>
          <w:rFonts w:ascii="Rockwell" w:hAnsi="Rockwell"/>
          <w:color w:val="000000"/>
          <w:sz w:val="24"/>
          <w:szCs w:val="24"/>
          <w:lang w:val="en-US"/>
        </w:rPr>
        <w:t xml:space="preserve">Where the Authority confiscates a deposit bond and the operator is dissatisfied with the confiscation, the operator </w:t>
      </w:r>
      <w:r w:rsidR="00DF2092">
        <w:rPr>
          <w:rFonts w:ascii="Rockwell" w:hAnsi="Rockwell"/>
          <w:color w:val="000000"/>
          <w:sz w:val="24"/>
          <w:szCs w:val="24"/>
          <w:lang w:val="en-US"/>
        </w:rPr>
        <w:t xml:space="preserve">may seek redress at the National Environment </w:t>
      </w:r>
      <w:r w:rsidR="00DF2092" w:rsidRPr="003E0532">
        <w:rPr>
          <w:rFonts w:ascii="Rockwell" w:hAnsi="Rockwell"/>
          <w:color w:val="000000"/>
          <w:sz w:val="24"/>
          <w:szCs w:val="24"/>
          <w:lang w:val="en-US"/>
        </w:rPr>
        <w:t xml:space="preserve">Tribunal </w:t>
      </w:r>
      <w:r w:rsidR="00DF2092">
        <w:rPr>
          <w:rFonts w:ascii="Rockwell" w:hAnsi="Rockwell"/>
          <w:color w:val="000000"/>
          <w:sz w:val="24"/>
          <w:szCs w:val="24"/>
          <w:lang w:val="en-US"/>
        </w:rPr>
        <w:t xml:space="preserve">(NET) and may thereafter </w:t>
      </w:r>
      <w:r w:rsidRPr="003E0532">
        <w:rPr>
          <w:rFonts w:ascii="Rockwell" w:hAnsi="Rockwell"/>
          <w:color w:val="000000"/>
          <w:sz w:val="24"/>
          <w:szCs w:val="24"/>
          <w:lang w:val="en-US"/>
        </w:rPr>
        <w:t>a</w:t>
      </w:r>
      <w:r w:rsidR="00DF2092">
        <w:rPr>
          <w:rFonts w:ascii="Rockwell" w:hAnsi="Rockwell"/>
          <w:color w:val="000000"/>
          <w:sz w:val="24"/>
          <w:szCs w:val="24"/>
          <w:lang w:val="en-US"/>
        </w:rPr>
        <w:t>ppeal to a</w:t>
      </w:r>
      <w:r w:rsidRPr="003E0532">
        <w:rPr>
          <w:rFonts w:ascii="Rockwell" w:hAnsi="Rockwell"/>
          <w:color w:val="000000"/>
          <w:sz w:val="24"/>
          <w:szCs w:val="24"/>
          <w:lang w:val="en-US"/>
        </w:rPr>
        <w:t xml:space="preserve"> competent court of law within sixty days o</w:t>
      </w:r>
      <w:r w:rsidR="003E0532" w:rsidRPr="003E0532">
        <w:rPr>
          <w:rFonts w:ascii="Rockwell" w:hAnsi="Rockwell"/>
          <w:color w:val="000000"/>
          <w:sz w:val="24"/>
          <w:szCs w:val="24"/>
          <w:lang w:val="en-US"/>
        </w:rPr>
        <w:t>f the decision of the Authority;</w:t>
      </w:r>
    </w:p>
    <w:p w:rsidR="00341567" w:rsidRPr="003E0532" w:rsidRDefault="00DF2092" w:rsidP="000E7DFC">
      <w:pPr>
        <w:pStyle w:val="Heading1"/>
        <w:rPr>
          <w:rFonts w:ascii="Rockwell" w:eastAsia="Times New Roman" w:hAnsi="Rockwell" w:cs="Times New Roman"/>
          <w:b/>
          <w:sz w:val="24"/>
          <w:szCs w:val="24"/>
        </w:rPr>
      </w:pPr>
      <w:bookmarkStart w:id="22" w:name="_Toc209047109"/>
      <w:r>
        <w:rPr>
          <w:rFonts w:ascii="Rockwell" w:eastAsia="Times New Roman" w:hAnsi="Rockwell" w:cs="Times New Roman"/>
          <w:b/>
          <w:sz w:val="24"/>
          <w:szCs w:val="24"/>
        </w:rPr>
        <w:t>3.7</w:t>
      </w:r>
      <w:r w:rsidR="003E0532" w:rsidRPr="003E0532">
        <w:rPr>
          <w:rFonts w:ascii="Rockwell" w:eastAsia="Times New Roman" w:hAnsi="Rockwell" w:cs="Times New Roman"/>
          <w:b/>
          <w:sz w:val="24"/>
          <w:szCs w:val="24"/>
        </w:rPr>
        <w:t xml:space="preserve"> Appeals</w:t>
      </w:r>
      <w:bookmarkEnd w:id="22"/>
      <w:r w:rsidR="003E0532" w:rsidRPr="003E0532">
        <w:rPr>
          <w:rFonts w:ascii="Rockwell" w:eastAsia="Times New Roman" w:hAnsi="Rockwell" w:cs="Times New Roman"/>
          <w:b/>
          <w:sz w:val="24"/>
          <w:szCs w:val="24"/>
        </w:rPr>
        <w:t xml:space="preserve"> </w:t>
      </w:r>
    </w:p>
    <w:p w:rsidR="0000575C" w:rsidRDefault="003E0532" w:rsidP="000E7DFC">
      <w:pPr>
        <w:spacing w:before="240" w:after="240"/>
        <w:jc w:val="both"/>
        <w:rPr>
          <w:rFonts w:ascii="Rockwell" w:hAnsi="Rockwell"/>
          <w:color w:val="000000"/>
          <w:sz w:val="24"/>
          <w:szCs w:val="24"/>
          <w:lang w:val="en-US"/>
        </w:rPr>
      </w:pPr>
      <w:r>
        <w:rPr>
          <w:rFonts w:ascii="Rockwell" w:hAnsi="Rockwell"/>
          <w:sz w:val="24"/>
          <w:szCs w:val="24"/>
          <w:lang w:val="en-GB"/>
        </w:rPr>
        <w:t xml:space="preserve">Dispute resolution is a key component of the environmental decisions. An operator may </w:t>
      </w:r>
      <w:r w:rsidRPr="003E0532">
        <w:rPr>
          <w:rFonts w:ascii="Rockwell" w:hAnsi="Rockwell"/>
          <w:color w:val="000000"/>
          <w:sz w:val="24"/>
          <w:szCs w:val="24"/>
          <w:lang w:val="en-US" w:eastAsia="en-GB"/>
        </w:rPr>
        <w:t>appeal</w:t>
      </w:r>
      <w:r w:rsidRPr="003E0532">
        <w:rPr>
          <w:rFonts w:ascii="Rockwell" w:hAnsi="Rockwell"/>
          <w:color w:val="000000"/>
          <w:sz w:val="24"/>
          <w:szCs w:val="24"/>
          <w:lang w:val="en-US"/>
        </w:rPr>
        <w:t xml:space="preserve"> to the </w:t>
      </w:r>
      <w:r>
        <w:rPr>
          <w:rFonts w:ascii="Rockwell" w:hAnsi="Rockwell"/>
          <w:color w:val="000000"/>
          <w:sz w:val="24"/>
          <w:szCs w:val="24"/>
          <w:lang w:val="en-US"/>
        </w:rPr>
        <w:t xml:space="preserve">National Environment </w:t>
      </w:r>
      <w:r w:rsidRPr="003E0532">
        <w:rPr>
          <w:rFonts w:ascii="Rockwell" w:hAnsi="Rockwell"/>
          <w:color w:val="000000"/>
          <w:sz w:val="24"/>
          <w:szCs w:val="24"/>
          <w:lang w:val="en-US"/>
        </w:rPr>
        <w:t xml:space="preserve">Tribunal </w:t>
      </w:r>
      <w:r>
        <w:rPr>
          <w:rFonts w:ascii="Rockwell" w:hAnsi="Rockwell"/>
          <w:color w:val="000000"/>
          <w:sz w:val="24"/>
          <w:szCs w:val="24"/>
          <w:lang w:val="en-US"/>
        </w:rPr>
        <w:t>(NET)</w:t>
      </w:r>
      <w:r w:rsidR="0000575C">
        <w:rPr>
          <w:rFonts w:ascii="Rockwell" w:hAnsi="Rockwell"/>
          <w:color w:val="000000"/>
          <w:sz w:val="24"/>
          <w:szCs w:val="24"/>
          <w:lang w:val="en-US"/>
        </w:rPr>
        <w:t xml:space="preserve">, if </w:t>
      </w:r>
      <w:r w:rsidR="00DF2092">
        <w:rPr>
          <w:rFonts w:ascii="Rockwell" w:hAnsi="Rockwell"/>
          <w:color w:val="000000"/>
          <w:sz w:val="24"/>
          <w:szCs w:val="24"/>
          <w:lang w:val="en-US"/>
        </w:rPr>
        <w:t xml:space="preserve">dissatisfied </w:t>
      </w:r>
      <w:r w:rsidR="0000575C">
        <w:rPr>
          <w:rFonts w:ascii="Rockwell" w:hAnsi="Rockwell"/>
          <w:color w:val="000000"/>
          <w:sz w:val="24"/>
          <w:szCs w:val="24"/>
          <w:lang w:val="en-US"/>
        </w:rPr>
        <w:t>by the decision of the NET</w:t>
      </w:r>
      <w:r w:rsidR="00DF2092">
        <w:rPr>
          <w:rFonts w:ascii="Rockwell" w:hAnsi="Rockwell"/>
          <w:color w:val="000000"/>
          <w:sz w:val="24"/>
          <w:szCs w:val="24"/>
          <w:lang w:val="en-US"/>
        </w:rPr>
        <w:t>, the operator can proceed to the Environment and Land Court</w:t>
      </w:r>
      <w:r w:rsidR="0000575C">
        <w:rPr>
          <w:rFonts w:ascii="Rockwell" w:hAnsi="Rockwell"/>
          <w:color w:val="000000"/>
          <w:sz w:val="24"/>
          <w:szCs w:val="24"/>
          <w:lang w:val="en-US"/>
        </w:rPr>
        <w:t xml:space="preserve">. </w:t>
      </w:r>
    </w:p>
    <w:p w:rsidR="003E0532" w:rsidRPr="003E0532" w:rsidRDefault="0000575C" w:rsidP="000E7DFC">
      <w:pPr>
        <w:spacing w:before="240" w:after="240"/>
        <w:jc w:val="both"/>
        <w:rPr>
          <w:rFonts w:ascii="Rockwell" w:hAnsi="Rockwell"/>
          <w:sz w:val="24"/>
          <w:szCs w:val="24"/>
          <w:lang w:val="en-GB"/>
        </w:rPr>
      </w:pPr>
      <w:r>
        <w:rPr>
          <w:rFonts w:ascii="Rockwell" w:hAnsi="Rockwell"/>
          <w:color w:val="000000"/>
          <w:sz w:val="24"/>
          <w:szCs w:val="24"/>
          <w:lang w:val="en-US"/>
        </w:rPr>
        <w:t>The appeals may be necessitated by</w:t>
      </w:r>
      <w:r w:rsidR="003E0532">
        <w:rPr>
          <w:rFonts w:ascii="Rockwell" w:hAnsi="Rockwell"/>
          <w:sz w:val="24"/>
          <w:szCs w:val="24"/>
          <w:lang w:val="en-GB"/>
        </w:rPr>
        <w:t>;</w:t>
      </w:r>
    </w:p>
    <w:p w:rsidR="003E0532" w:rsidRPr="003E0532" w:rsidRDefault="003E0532" w:rsidP="000E7DFC">
      <w:pPr>
        <w:pStyle w:val="ListParagraph"/>
        <w:numPr>
          <w:ilvl w:val="0"/>
          <w:numId w:val="20"/>
        </w:numPr>
        <w:spacing w:before="240" w:after="240"/>
        <w:jc w:val="both"/>
        <w:rPr>
          <w:rFonts w:ascii="Rockwell" w:hAnsi="Rockwell"/>
          <w:sz w:val="24"/>
          <w:szCs w:val="24"/>
          <w:lang w:val="en-GB"/>
        </w:rPr>
      </w:pPr>
      <w:r w:rsidRPr="003E0532">
        <w:rPr>
          <w:rFonts w:ascii="Rockwell" w:hAnsi="Rockwell"/>
          <w:sz w:val="24"/>
          <w:szCs w:val="24"/>
          <w:lang w:val="en-GB"/>
        </w:rPr>
        <w:t>the determination of the amo</w:t>
      </w:r>
      <w:r w:rsidR="00DF2092">
        <w:rPr>
          <w:rFonts w:ascii="Rockwell" w:hAnsi="Rockwell"/>
          <w:sz w:val="24"/>
          <w:szCs w:val="24"/>
          <w:lang w:val="en-GB"/>
        </w:rPr>
        <w:t>unt of the deposit bond payable;</w:t>
      </w:r>
    </w:p>
    <w:p w:rsidR="003E0532" w:rsidRPr="003E0532" w:rsidRDefault="003E0532" w:rsidP="000E7DFC">
      <w:pPr>
        <w:pStyle w:val="ListParagraph"/>
        <w:numPr>
          <w:ilvl w:val="0"/>
          <w:numId w:val="20"/>
        </w:numPr>
        <w:spacing w:before="240" w:after="240"/>
        <w:jc w:val="both"/>
        <w:rPr>
          <w:rFonts w:ascii="Rockwell" w:hAnsi="Rockwell"/>
          <w:sz w:val="24"/>
          <w:szCs w:val="24"/>
          <w:lang w:val="en-GB"/>
        </w:rPr>
      </w:pPr>
      <w:r w:rsidRPr="003E0532">
        <w:rPr>
          <w:rFonts w:ascii="Rockwell" w:hAnsi="Rockwell"/>
          <w:sz w:val="24"/>
          <w:szCs w:val="24"/>
          <w:lang w:val="x-none"/>
        </w:rPr>
        <w:t xml:space="preserve">the confiscation of a </w:t>
      </w:r>
      <w:r w:rsidR="00D40664" w:rsidRPr="003E0532">
        <w:rPr>
          <w:rFonts w:ascii="Rockwell" w:hAnsi="Rockwell"/>
          <w:sz w:val="24"/>
          <w:szCs w:val="24"/>
          <w:lang w:val="x-none"/>
        </w:rPr>
        <w:t>deposit</w:t>
      </w:r>
      <w:r w:rsidRPr="003E0532">
        <w:rPr>
          <w:rFonts w:ascii="Rockwell" w:hAnsi="Rockwell"/>
          <w:sz w:val="24"/>
          <w:szCs w:val="24"/>
          <w:lang w:val="x-none"/>
        </w:rPr>
        <w:t xml:space="preserve"> </w:t>
      </w:r>
      <w:r w:rsidRPr="003E0532">
        <w:rPr>
          <w:rFonts w:ascii="Rockwell" w:hAnsi="Rockwell"/>
          <w:sz w:val="24"/>
          <w:szCs w:val="24"/>
          <w:lang w:val="en-GB"/>
        </w:rPr>
        <w:t>b</w:t>
      </w:r>
      <w:proofErr w:type="spellStart"/>
      <w:r w:rsidRPr="003E0532">
        <w:rPr>
          <w:rFonts w:ascii="Rockwell" w:hAnsi="Rockwell"/>
          <w:sz w:val="24"/>
          <w:szCs w:val="24"/>
          <w:lang w:val="x-none"/>
        </w:rPr>
        <w:t>ond</w:t>
      </w:r>
      <w:proofErr w:type="spellEnd"/>
      <w:r w:rsidRPr="003E0532">
        <w:rPr>
          <w:rFonts w:ascii="Rockwell" w:hAnsi="Rockwell"/>
          <w:sz w:val="24"/>
          <w:szCs w:val="24"/>
          <w:lang w:val="en-US"/>
        </w:rPr>
        <w:t xml:space="preserve"> by the Authority</w:t>
      </w:r>
      <w:r w:rsidRPr="003E0532">
        <w:rPr>
          <w:rFonts w:ascii="Rockwell" w:hAnsi="Rockwell"/>
          <w:sz w:val="24"/>
          <w:szCs w:val="24"/>
          <w:lang w:val="en-GB"/>
        </w:rPr>
        <w:t>;</w:t>
      </w:r>
    </w:p>
    <w:p w:rsidR="003E0532" w:rsidRPr="003E0532" w:rsidRDefault="0000575C" w:rsidP="000E7DFC">
      <w:pPr>
        <w:pStyle w:val="ListParagraph"/>
        <w:numPr>
          <w:ilvl w:val="0"/>
          <w:numId w:val="20"/>
        </w:numPr>
        <w:spacing w:before="240" w:after="240"/>
        <w:jc w:val="both"/>
        <w:rPr>
          <w:rFonts w:ascii="Rockwell" w:hAnsi="Rockwell"/>
          <w:sz w:val="24"/>
          <w:szCs w:val="24"/>
          <w:lang w:val="en-GB"/>
        </w:rPr>
      </w:pPr>
      <w:r>
        <w:rPr>
          <w:rFonts w:ascii="Rockwell" w:hAnsi="Rockwell"/>
          <w:sz w:val="24"/>
          <w:szCs w:val="24"/>
          <w:lang w:val="en-GB"/>
        </w:rPr>
        <w:t xml:space="preserve">the refund </w:t>
      </w:r>
      <w:r w:rsidR="003E0532" w:rsidRPr="003E0532">
        <w:rPr>
          <w:rFonts w:ascii="Rockwell" w:hAnsi="Rockwell"/>
          <w:sz w:val="24"/>
          <w:szCs w:val="24"/>
          <w:lang w:val="en-GB"/>
        </w:rPr>
        <w:t>amount of a deposit bond;</w:t>
      </w:r>
    </w:p>
    <w:p w:rsidR="003E0532" w:rsidRPr="003E0532" w:rsidRDefault="003E0532" w:rsidP="000E7DFC">
      <w:pPr>
        <w:pStyle w:val="ListParagraph"/>
        <w:numPr>
          <w:ilvl w:val="0"/>
          <w:numId w:val="20"/>
        </w:numPr>
        <w:spacing w:before="240" w:after="240"/>
        <w:jc w:val="both"/>
        <w:rPr>
          <w:rFonts w:ascii="Rockwell" w:hAnsi="Rockwell"/>
          <w:sz w:val="24"/>
          <w:szCs w:val="24"/>
          <w:lang w:val="en-GB"/>
        </w:rPr>
      </w:pPr>
      <w:r w:rsidRPr="003E0532">
        <w:rPr>
          <w:rFonts w:ascii="Rockwell" w:hAnsi="Rockwell"/>
          <w:sz w:val="24"/>
          <w:szCs w:val="24"/>
          <w:lang w:val="en-GB"/>
        </w:rPr>
        <w:t>the imposition by the Authority of any condition, limitation or restriction in the approval condition pertaining to deposit bond; or</w:t>
      </w:r>
    </w:p>
    <w:p w:rsidR="003E0532" w:rsidRPr="006C1DB4" w:rsidRDefault="003E0532" w:rsidP="000E7DFC">
      <w:pPr>
        <w:pStyle w:val="ListParagraph"/>
        <w:numPr>
          <w:ilvl w:val="0"/>
          <w:numId w:val="20"/>
        </w:numPr>
        <w:spacing w:before="240" w:after="240"/>
        <w:jc w:val="both"/>
        <w:rPr>
          <w:rFonts w:ascii="Rockwell" w:eastAsia="Times New Roman" w:hAnsi="Rockwell" w:cs="Times New Roman"/>
          <w:sz w:val="24"/>
          <w:szCs w:val="24"/>
        </w:rPr>
      </w:pPr>
      <w:r w:rsidRPr="003E0532">
        <w:rPr>
          <w:rFonts w:ascii="Rockwell" w:hAnsi="Rockwell"/>
          <w:sz w:val="24"/>
          <w:szCs w:val="24"/>
          <w:lang w:val="x-none"/>
        </w:rPr>
        <w:t xml:space="preserve">any </w:t>
      </w:r>
      <w:r w:rsidRPr="003E0532">
        <w:rPr>
          <w:rFonts w:ascii="Rockwell" w:hAnsi="Rockwell"/>
          <w:sz w:val="24"/>
          <w:szCs w:val="24"/>
          <w:lang w:val="en-GB"/>
        </w:rPr>
        <w:t xml:space="preserve">other </w:t>
      </w:r>
      <w:r w:rsidRPr="003E0532">
        <w:rPr>
          <w:rFonts w:ascii="Rockwell" w:hAnsi="Rockwell"/>
          <w:sz w:val="24"/>
          <w:szCs w:val="24"/>
          <w:lang w:val="x-none"/>
        </w:rPr>
        <w:t xml:space="preserve">decision </w:t>
      </w:r>
      <w:r w:rsidRPr="003E0532">
        <w:rPr>
          <w:rFonts w:ascii="Rockwell" w:hAnsi="Rockwell"/>
          <w:sz w:val="24"/>
          <w:szCs w:val="24"/>
          <w:lang w:val="en-GB"/>
        </w:rPr>
        <w:t>made by</w:t>
      </w:r>
      <w:r w:rsidRPr="003E0532">
        <w:rPr>
          <w:rFonts w:ascii="Rockwell" w:hAnsi="Rockwell"/>
          <w:sz w:val="24"/>
          <w:szCs w:val="24"/>
          <w:lang w:val="x-none"/>
        </w:rPr>
        <w:t xml:space="preserve"> the Authority</w:t>
      </w:r>
      <w:r w:rsidRPr="003E0532">
        <w:rPr>
          <w:rFonts w:ascii="Rockwell" w:hAnsi="Rockwell"/>
          <w:sz w:val="24"/>
          <w:szCs w:val="24"/>
          <w:lang w:val="en-GB"/>
        </w:rPr>
        <w:t xml:space="preserve"> relating to the payment of a deposit bond by that person.</w:t>
      </w:r>
    </w:p>
    <w:p w:rsidR="006C1DB4" w:rsidRDefault="006C1DB4" w:rsidP="006C1DB4">
      <w:pPr>
        <w:spacing w:before="240" w:after="240"/>
        <w:jc w:val="both"/>
        <w:rPr>
          <w:rFonts w:ascii="Rockwell" w:eastAsia="Times New Roman" w:hAnsi="Rockwell" w:cs="Times New Roman"/>
          <w:sz w:val="24"/>
          <w:szCs w:val="24"/>
        </w:rPr>
      </w:pPr>
    </w:p>
    <w:p w:rsidR="006C1DB4" w:rsidRDefault="006C1DB4" w:rsidP="006C1DB4">
      <w:pPr>
        <w:spacing w:before="240" w:after="240"/>
        <w:jc w:val="both"/>
        <w:rPr>
          <w:rFonts w:ascii="Rockwell" w:eastAsia="Times New Roman" w:hAnsi="Rockwell" w:cs="Times New Roman"/>
          <w:sz w:val="24"/>
          <w:szCs w:val="24"/>
        </w:rPr>
      </w:pPr>
    </w:p>
    <w:p w:rsidR="006C1DB4" w:rsidRDefault="006C1DB4" w:rsidP="006C1DB4">
      <w:pPr>
        <w:spacing w:before="240" w:after="240"/>
        <w:jc w:val="both"/>
        <w:rPr>
          <w:rFonts w:ascii="Rockwell" w:eastAsia="Times New Roman" w:hAnsi="Rockwell" w:cs="Times New Roman"/>
          <w:sz w:val="24"/>
          <w:szCs w:val="24"/>
        </w:rPr>
      </w:pPr>
    </w:p>
    <w:p w:rsidR="006C1DB4" w:rsidRDefault="006C1DB4" w:rsidP="006C1DB4">
      <w:pPr>
        <w:spacing w:before="240" w:after="240"/>
        <w:jc w:val="both"/>
        <w:rPr>
          <w:rFonts w:ascii="Rockwell" w:eastAsia="Times New Roman" w:hAnsi="Rockwell" w:cs="Times New Roman"/>
          <w:sz w:val="24"/>
          <w:szCs w:val="24"/>
        </w:rPr>
      </w:pPr>
    </w:p>
    <w:p w:rsidR="006C1DB4" w:rsidRDefault="006C1DB4" w:rsidP="006C1DB4">
      <w:pPr>
        <w:spacing w:before="240" w:after="240"/>
        <w:jc w:val="both"/>
        <w:rPr>
          <w:rFonts w:ascii="Rockwell" w:eastAsia="Times New Roman" w:hAnsi="Rockwell" w:cs="Times New Roman"/>
          <w:sz w:val="24"/>
          <w:szCs w:val="24"/>
        </w:rPr>
      </w:pPr>
    </w:p>
    <w:p w:rsidR="006C1DB4" w:rsidRDefault="006C1DB4" w:rsidP="006C1DB4">
      <w:pPr>
        <w:spacing w:before="240" w:after="240"/>
        <w:jc w:val="both"/>
        <w:rPr>
          <w:rFonts w:ascii="Rockwell" w:eastAsia="Times New Roman" w:hAnsi="Rockwell" w:cs="Times New Roman"/>
          <w:sz w:val="24"/>
          <w:szCs w:val="24"/>
        </w:rPr>
      </w:pPr>
    </w:p>
    <w:p w:rsidR="006C1DB4" w:rsidRDefault="006C1DB4" w:rsidP="006C1DB4">
      <w:pPr>
        <w:spacing w:before="240" w:after="240"/>
        <w:jc w:val="both"/>
        <w:rPr>
          <w:rFonts w:ascii="Rockwell" w:eastAsia="Times New Roman" w:hAnsi="Rockwell" w:cs="Times New Roman"/>
          <w:sz w:val="24"/>
          <w:szCs w:val="24"/>
        </w:rPr>
      </w:pPr>
    </w:p>
    <w:p w:rsidR="006C1DB4" w:rsidRPr="006C1DB4" w:rsidRDefault="006C1DB4" w:rsidP="006C1DB4">
      <w:pPr>
        <w:spacing w:before="240" w:after="240"/>
        <w:jc w:val="both"/>
        <w:rPr>
          <w:rFonts w:ascii="Rockwell" w:eastAsia="Times New Roman" w:hAnsi="Rockwell" w:cs="Times New Roman"/>
          <w:sz w:val="24"/>
          <w:szCs w:val="24"/>
        </w:rPr>
      </w:pPr>
    </w:p>
    <w:p w:rsidR="008E29E3" w:rsidRDefault="006B33C9" w:rsidP="000E7DFC">
      <w:pPr>
        <w:pStyle w:val="Heading1"/>
        <w:jc w:val="both"/>
        <w:rPr>
          <w:rFonts w:ascii="Rockwell" w:eastAsia="Times New Roman" w:hAnsi="Rockwell" w:cs="Times New Roman"/>
          <w:b/>
          <w:sz w:val="24"/>
          <w:szCs w:val="24"/>
        </w:rPr>
      </w:pPr>
      <w:bookmarkStart w:id="23" w:name="_Toc209047110"/>
      <w:r w:rsidRPr="004A76D7">
        <w:rPr>
          <w:rFonts w:ascii="Rockwell" w:eastAsia="Times New Roman" w:hAnsi="Rockwell" w:cs="Times New Roman"/>
          <w:b/>
          <w:sz w:val="24"/>
          <w:szCs w:val="24"/>
        </w:rPr>
        <w:t>Chapter 4: Remediation Standards and Estimation of the Remediation Liability</w:t>
      </w:r>
      <w:bookmarkEnd w:id="23"/>
    </w:p>
    <w:p w:rsidR="00810BA3" w:rsidRPr="00810BA3" w:rsidRDefault="00810BA3" w:rsidP="00810BA3">
      <w:pPr>
        <w:jc w:val="both"/>
        <w:rPr>
          <w:rFonts w:ascii="Rockwell" w:eastAsia="Times New Roman" w:hAnsi="Rockwell" w:cs="Times New Roman"/>
          <w:sz w:val="24"/>
          <w:szCs w:val="24"/>
        </w:rPr>
      </w:pPr>
      <w:r w:rsidRPr="00810BA3">
        <w:rPr>
          <w:rFonts w:ascii="Rockwell" w:eastAsia="Times New Roman" w:hAnsi="Rockwell" w:cs="Times New Roman"/>
          <w:sz w:val="24"/>
          <w:szCs w:val="24"/>
        </w:rPr>
        <w:t>This chapter highlights best practice remediation planning, identification of remediation parameters</w:t>
      </w:r>
      <w:r>
        <w:rPr>
          <w:rFonts w:ascii="Rockwell" w:eastAsia="Times New Roman" w:hAnsi="Rockwell" w:cs="Times New Roman"/>
          <w:sz w:val="24"/>
          <w:szCs w:val="24"/>
        </w:rPr>
        <w:t xml:space="preserve">, </w:t>
      </w:r>
      <w:r w:rsidR="00866B62">
        <w:rPr>
          <w:rFonts w:ascii="Rockwell" w:eastAsia="Times New Roman" w:hAnsi="Rockwell" w:cs="Times New Roman"/>
          <w:sz w:val="24"/>
          <w:szCs w:val="24"/>
        </w:rPr>
        <w:t xml:space="preserve">guidance on </w:t>
      </w:r>
      <w:r>
        <w:rPr>
          <w:rFonts w:ascii="Rockwell" w:eastAsia="Times New Roman" w:hAnsi="Rockwell" w:cs="Times New Roman"/>
          <w:sz w:val="24"/>
          <w:szCs w:val="24"/>
        </w:rPr>
        <w:t>the remediation liability estimations</w:t>
      </w:r>
      <w:r w:rsidR="00866B62">
        <w:rPr>
          <w:rFonts w:ascii="Rockwell" w:eastAsia="Times New Roman" w:hAnsi="Rockwell" w:cs="Times New Roman"/>
          <w:sz w:val="24"/>
          <w:szCs w:val="24"/>
        </w:rPr>
        <w:t xml:space="preserve"> and </w:t>
      </w:r>
      <w:r>
        <w:rPr>
          <w:rFonts w:ascii="Rockwell" w:eastAsia="Times New Roman" w:hAnsi="Rockwell" w:cs="Times New Roman"/>
          <w:sz w:val="24"/>
          <w:szCs w:val="24"/>
        </w:rPr>
        <w:t>addressing uncertainties that might le</w:t>
      </w:r>
      <w:r w:rsidR="00866B62">
        <w:rPr>
          <w:rFonts w:ascii="Rockwell" w:eastAsia="Times New Roman" w:hAnsi="Rockwell" w:cs="Times New Roman"/>
          <w:sz w:val="24"/>
          <w:szCs w:val="24"/>
        </w:rPr>
        <w:t>a</w:t>
      </w:r>
      <w:r>
        <w:rPr>
          <w:rFonts w:ascii="Rockwell" w:eastAsia="Times New Roman" w:hAnsi="Rockwell" w:cs="Times New Roman"/>
          <w:sz w:val="24"/>
          <w:szCs w:val="24"/>
        </w:rPr>
        <w:t xml:space="preserve">d to risk of under or over estimation </w:t>
      </w:r>
      <w:r w:rsidR="00866B62">
        <w:rPr>
          <w:rFonts w:ascii="Rockwell" w:eastAsia="Times New Roman" w:hAnsi="Rockwell" w:cs="Times New Roman"/>
          <w:sz w:val="24"/>
          <w:szCs w:val="24"/>
        </w:rPr>
        <w:t>of the deposit bond payable.</w:t>
      </w:r>
    </w:p>
    <w:p w:rsidR="008E29E3" w:rsidRPr="004A76D7" w:rsidRDefault="008E29E3" w:rsidP="000E7DFC">
      <w:pPr>
        <w:pStyle w:val="Heading1"/>
        <w:jc w:val="both"/>
        <w:rPr>
          <w:rFonts w:ascii="Rockwell" w:eastAsia="Times New Roman" w:hAnsi="Rockwell" w:cs="Times New Roman"/>
          <w:b/>
          <w:sz w:val="24"/>
          <w:szCs w:val="24"/>
        </w:rPr>
      </w:pPr>
      <w:r w:rsidRPr="004A76D7">
        <w:rPr>
          <w:rFonts w:ascii="Rockwell" w:eastAsia="Times New Roman" w:hAnsi="Rockwell" w:cs="Times New Roman"/>
          <w:b/>
          <w:sz w:val="24"/>
          <w:szCs w:val="24"/>
        </w:rPr>
        <w:t xml:space="preserve"> </w:t>
      </w:r>
      <w:bookmarkStart w:id="24" w:name="_Toc209047111"/>
      <w:r w:rsidRPr="004A76D7">
        <w:rPr>
          <w:rFonts w:ascii="Rockwell" w:eastAsia="Times New Roman" w:hAnsi="Rockwell" w:cs="Times New Roman"/>
          <w:b/>
          <w:sz w:val="24"/>
          <w:szCs w:val="24"/>
        </w:rPr>
        <w:t>4.1 Remediation Standards</w:t>
      </w:r>
      <w:bookmarkEnd w:id="24"/>
    </w:p>
    <w:p w:rsidR="008E29E3" w:rsidRPr="004A76D7" w:rsidRDefault="008E29E3"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A key practice in mine remediation planning entails the need to develop in detail relevant and specific decommissioning management plans for all closure activities. To comply with the prescribed remediation standards, it's important for the operators to formulate a Mine Site Remediation Plan.</w:t>
      </w:r>
    </w:p>
    <w:p w:rsidR="008E29E3" w:rsidRPr="004A76D7" w:rsidRDefault="008E29E3"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The remediation plan should be comprehensive to guide activities at the end of the mine operations and should ensure compliance with relevant legal obligations, minimize risks of safety and environmental incidents and detail the resources that will be required to undertake those activities. </w:t>
      </w:r>
    </w:p>
    <w:p w:rsidR="008E29E3" w:rsidRPr="004A76D7" w:rsidRDefault="008E29E3"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Understanding and predicting the likely environmental conditions that will develop after closure assists in quantifying completion criteria and reaching agreement between the mine operation and regulators on the environmental requirements that must be met to allow the mining right</w:t>
      </w:r>
      <w:r w:rsidR="0070614A">
        <w:rPr>
          <w:rFonts w:ascii="Rockwell" w:eastAsia="Times New Roman" w:hAnsi="Rockwell" w:cs="Times New Roman"/>
          <w:sz w:val="24"/>
          <w:szCs w:val="24"/>
        </w:rPr>
        <w:t>s</w:t>
      </w:r>
      <w:r w:rsidRPr="004A76D7">
        <w:rPr>
          <w:rFonts w:ascii="Rockwell" w:eastAsia="Times New Roman" w:hAnsi="Rockwell" w:cs="Times New Roman"/>
          <w:sz w:val="24"/>
          <w:szCs w:val="24"/>
        </w:rPr>
        <w:t xml:space="preserve"> to be relinquished.</w:t>
      </w:r>
    </w:p>
    <w:p w:rsidR="008E29E3" w:rsidRPr="004A76D7" w:rsidRDefault="008E29E3" w:rsidP="000E7DFC">
      <w:pPr>
        <w:pStyle w:val="Heading2"/>
        <w:jc w:val="both"/>
        <w:rPr>
          <w:rFonts w:ascii="Rockwell" w:eastAsia="Times New Roman" w:hAnsi="Rockwell" w:cs="Times New Roman"/>
          <w:b/>
          <w:sz w:val="24"/>
          <w:szCs w:val="24"/>
        </w:rPr>
      </w:pPr>
      <w:bookmarkStart w:id="25" w:name="_Toc209047112"/>
      <w:r w:rsidRPr="00810BA3">
        <w:rPr>
          <w:rFonts w:ascii="Rockwell" w:eastAsia="Times New Roman" w:hAnsi="Rockwell" w:cs="Times New Roman"/>
          <w:b/>
          <w:sz w:val="24"/>
          <w:szCs w:val="24"/>
        </w:rPr>
        <w:t>4.1.1</w:t>
      </w:r>
      <w:r w:rsidRPr="004A76D7">
        <w:rPr>
          <w:rFonts w:ascii="Rockwell" w:eastAsia="Times New Roman" w:hAnsi="Rockwell" w:cs="Times New Roman"/>
          <w:b/>
          <w:sz w:val="24"/>
          <w:szCs w:val="24"/>
        </w:rPr>
        <w:t xml:space="preserve"> The Remediation Management Plan</w:t>
      </w:r>
      <w:bookmarkEnd w:id="25"/>
    </w:p>
    <w:p w:rsidR="008E29E3" w:rsidRPr="004A76D7" w:rsidRDefault="008E29E3" w:rsidP="000E7DFC">
      <w:pPr>
        <w:spacing w:before="240"/>
        <w:jc w:val="both"/>
        <w:rPr>
          <w:rFonts w:ascii="Rockwell" w:eastAsia="Times New Roman" w:hAnsi="Rockwell" w:cs="Times New Roman"/>
          <w:sz w:val="24"/>
          <w:szCs w:val="24"/>
        </w:rPr>
      </w:pPr>
      <w:r w:rsidRPr="00E21CD8">
        <w:rPr>
          <w:rFonts w:ascii="Rockwell" w:eastAsia="Times New Roman" w:hAnsi="Rockwell" w:cs="Times New Roman"/>
          <w:sz w:val="24"/>
          <w:szCs w:val="24"/>
        </w:rPr>
        <w:t>Appendix 4</w:t>
      </w:r>
      <w:r w:rsidRPr="004A76D7">
        <w:rPr>
          <w:rFonts w:ascii="Rockwell" w:eastAsia="Times New Roman" w:hAnsi="Rockwell" w:cs="Times New Roman"/>
          <w:sz w:val="24"/>
          <w:szCs w:val="24"/>
        </w:rPr>
        <w:t xml:space="preserve"> summarizes key remediation commitments to be incorporated in the Remediation Management Plan for mining operations. The list of these commitments may vary dependin</w:t>
      </w:r>
      <w:r w:rsidR="00C72023" w:rsidRPr="004A76D7">
        <w:rPr>
          <w:rFonts w:ascii="Rockwell" w:eastAsia="Times New Roman" w:hAnsi="Rockwell" w:cs="Times New Roman"/>
          <w:sz w:val="24"/>
          <w:szCs w:val="24"/>
        </w:rPr>
        <w:t>g on the site and nature of the</w:t>
      </w:r>
      <w:r w:rsidRPr="004A76D7">
        <w:rPr>
          <w:rFonts w:ascii="Rockwell" w:eastAsia="Times New Roman" w:hAnsi="Rockwell" w:cs="Times New Roman"/>
          <w:sz w:val="24"/>
          <w:szCs w:val="24"/>
        </w:rPr>
        <w:t xml:space="preserve"> mining operations.</w:t>
      </w:r>
    </w:p>
    <w:p w:rsidR="008E29E3" w:rsidRPr="004A76D7" w:rsidRDefault="008E29E3"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lastRenderedPageBreak/>
        <w:t>The Key Components of the Remediation Management Plan is as outlined below:</w:t>
      </w:r>
    </w:p>
    <w:p w:rsidR="008E29E3" w:rsidRPr="004A76D7" w:rsidRDefault="008E29E3" w:rsidP="00810BA3">
      <w:pPr>
        <w:pStyle w:val="Heading3"/>
        <w:numPr>
          <w:ilvl w:val="0"/>
          <w:numId w:val="25"/>
        </w:numPr>
        <w:jc w:val="both"/>
        <w:rPr>
          <w:rFonts w:ascii="Rockwell" w:eastAsia="Times New Roman" w:hAnsi="Rockwell" w:cs="Times New Roman"/>
          <w:b/>
          <w:sz w:val="24"/>
          <w:szCs w:val="24"/>
        </w:rPr>
      </w:pPr>
      <w:bookmarkStart w:id="26" w:name="_Toc209047113"/>
      <w:r w:rsidRPr="004A76D7">
        <w:rPr>
          <w:rFonts w:ascii="Rockwell" w:eastAsia="Times New Roman" w:hAnsi="Rockwell" w:cs="Times New Roman"/>
          <w:b/>
          <w:sz w:val="24"/>
          <w:szCs w:val="24"/>
        </w:rPr>
        <w:t>Components/factors/parameters</w:t>
      </w:r>
      <w:bookmarkEnd w:id="26"/>
    </w:p>
    <w:p w:rsidR="008E29E3" w:rsidRPr="004A76D7" w:rsidRDefault="008E29E3"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Th</w:t>
      </w:r>
      <w:r w:rsidR="00595BCA">
        <w:rPr>
          <w:rFonts w:ascii="Rockwell" w:eastAsia="Times New Roman" w:hAnsi="Rockwell" w:cs="Times New Roman"/>
          <w:sz w:val="24"/>
          <w:szCs w:val="24"/>
        </w:rPr>
        <w:t>e mineral right holder should</w:t>
      </w:r>
      <w:r w:rsidRPr="004A76D7">
        <w:rPr>
          <w:rFonts w:ascii="Rockwell" w:eastAsia="Times New Roman" w:hAnsi="Rockwell" w:cs="Times New Roman"/>
          <w:sz w:val="24"/>
          <w:szCs w:val="24"/>
        </w:rPr>
        <w:t xml:space="preserve"> provide details of the applicable parameters to inform the proposed remediation activities in line with the prescribed remediation standards.</w:t>
      </w:r>
    </w:p>
    <w:p w:rsidR="008E29E3" w:rsidRPr="004A76D7" w:rsidRDefault="008E29E3" w:rsidP="00810BA3">
      <w:pPr>
        <w:pStyle w:val="Heading3"/>
        <w:numPr>
          <w:ilvl w:val="0"/>
          <w:numId w:val="25"/>
        </w:numPr>
        <w:jc w:val="both"/>
        <w:rPr>
          <w:rFonts w:ascii="Rockwell" w:eastAsia="Times New Roman" w:hAnsi="Rockwell" w:cs="Times New Roman"/>
          <w:b/>
          <w:sz w:val="24"/>
          <w:szCs w:val="24"/>
        </w:rPr>
      </w:pPr>
      <w:bookmarkStart w:id="27" w:name="_Toc209047114"/>
      <w:r w:rsidRPr="004A76D7">
        <w:rPr>
          <w:rFonts w:ascii="Rockwell" w:eastAsia="Times New Roman" w:hAnsi="Rockwell" w:cs="Times New Roman"/>
          <w:b/>
          <w:sz w:val="24"/>
          <w:szCs w:val="24"/>
        </w:rPr>
        <w:t>Proposed Remediation methods/ the mitigation measures</w:t>
      </w:r>
      <w:bookmarkEnd w:id="27"/>
    </w:p>
    <w:p w:rsidR="008E29E3" w:rsidRPr="004A76D7" w:rsidRDefault="008E29E3" w:rsidP="000E7DFC">
      <w:pPr>
        <w:spacing w:before="240"/>
        <w:jc w:val="both"/>
        <w:rPr>
          <w:rFonts w:ascii="Rockwell" w:eastAsia="Times New Roman" w:hAnsi="Rockwell" w:cs="Times New Roman"/>
          <w:sz w:val="24"/>
          <w:szCs w:val="24"/>
        </w:rPr>
      </w:pPr>
      <w:proofErr w:type="gramStart"/>
      <w:r w:rsidRPr="004A76D7">
        <w:rPr>
          <w:rFonts w:ascii="Rockwell" w:eastAsia="Times New Roman" w:hAnsi="Rockwell" w:cs="Times New Roman"/>
          <w:sz w:val="24"/>
          <w:szCs w:val="24"/>
        </w:rPr>
        <w:t>mineral</w:t>
      </w:r>
      <w:proofErr w:type="gramEnd"/>
      <w:r w:rsidRPr="004A76D7">
        <w:rPr>
          <w:rFonts w:ascii="Rockwell" w:eastAsia="Times New Roman" w:hAnsi="Rockwell" w:cs="Times New Roman"/>
          <w:sz w:val="24"/>
          <w:szCs w:val="24"/>
        </w:rPr>
        <w:t xml:space="preserve"> right holder to provide a summary of the key concerns and the justification for the selection of the remediation method.</w:t>
      </w:r>
    </w:p>
    <w:p w:rsidR="008E29E3" w:rsidRPr="004A76D7" w:rsidRDefault="008E29E3" w:rsidP="00810BA3">
      <w:pPr>
        <w:pStyle w:val="Heading3"/>
        <w:numPr>
          <w:ilvl w:val="0"/>
          <w:numId w:val="25"/>
        </w:numPr>
        <w:jc w:val="both"/>
        <w:rPr>
          <w:rFonts w:ascii="Rockwell" w:eastAsia="Times New Roman" w:hAnsi="Rockwell" w:cs="Times New Roman"/>
          <w:b/>
          <w:sz w:val="24"/>
          <w:szCs w:val="24"/>
        </w:rPr>
      </w:pPr>
      <w:bookmarkStart w:id="28" w:name="_Toc209047115"/>
      <w:r w:rsidRPr="004A76D7">
        <w:rPr>
          <w:rFonts w:ascii="Rockwell" w:eastAsia="Times New Roman" w:hAnsi="Rockwell" w:cs="Times New Roman"/>
          <w:b/>
          <w:sz w:val="24"/>
          <w:szCs w:val="24"/>
        </w:rPr>
        <w:t>Cost Estimates of the proposed remediation methods/commitments</w:t>
      </w:r>
      <w:bookmarkEnd w:id="28"/>
    </w:p>
    <w:p w:rsidR="008E29E3" w:rsidRPr="004A76D7" w:rsidRDefault="008E29E3"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The key aspects that should be considered for the development of the estimates for provisioning, financial assurance and </w:t>
      </w:r>
      <w:proofErr w:type="spellStart"/>
      <w:r w:rsidRPr="004A76D7">
        <w:rPr>
          <w:rFonts w:ascii="Rockwell" w:eastAsia="Times New Roman" w:hAnsi="Rockwell" w:cs="Times New Roman"/>
          <w:sz w:val="24"/>
          <w:szCs w:val="24"/>
        </w:rPr>
        <w:t>LoM</w:t>
      </w:r>
      <w:proofErr w:type="spellEnd"/>
      <w:r w:rsidRPr="004A76D7">
        <w:rPr>
          <w:rFonts w:ascii="Rockwell" w:eastAsia="Times New Roman" w:hAnsi="Rockwell" w:cs="Times New Roman"/>
          <w:sz w:val="24"/>
          <w:szCs w:val="24"/>
        </w:rPr>
        <w:t xml:space="preserve"> planning are: </w:t>
      </w:r>
    </w:p>
    <w:p w:rsidR="008E29E3" w:rsidRPr="004A76D7" w:rsidRDefault="008E29E3" w:rsidP="000E7DFC">
      <w:pPr>
        <w:numPr>
          <w:ilvl w:val="0"/>
          <w:numId w:val="3"/>
        </w:numPr>
        <w:jc w:val="both"/>
        <w:rPr>
          <w:rFonts w:ascii="Rockwell" w:hAnsi="Rockwell"/>
          <w:sz w:val="24"/>
          <w:szCs w:val="24"/>
        </w:rPr>
      </w:pPr>
      <w:r w:rsidRPr="004A76D7">
        <w:rPr>
          <w:rFonts w:ascii="Rockwell" w:eastAsia="Times New Roman" w:hAnsi="Rockwell" w:cs="Times New Roman"/>
          <w:sz w:val="24"/>
          <w:szCs w:val="24"/>
        </w:rPr>
        <w:t xml:space="preserve">The appropriateness of the remediation and closure risks, strategies and activities to be </w:t>
      </w:r>
      <w:proofErr w:type="spellStart"/>
      <w:r w:rsidRPr="004A76D7">
        <w:rPr>
          <w:rFonts w:ascii="Rockwell" w:eastAsia="Times New Roman" w:hAnsi="Rockwell" w:cs="Times New Roman"/>
          <w:sz w:val="24"/>
          <w:szCs w:val="24"/>
        </w:rPr>
        <w:t>costed</w:t>
      </w:r>
      <w:proofErr w:type="spellEnd"/>
      <w:r w:rsidRPr="004A76D7">
        <w:rPr>
          <w:rFonts w:ascii="Rockwell" w:eastAsia="Times New Roman" w:hAnsi="Rockwell" w:cs="Times New Roman"/>
          <w:sz w:val="24"/>
          <w:szCs w:val="24"/>
        </w:rPr>
        <w:t xml:space="preserve"> within the models, and the issues associated with the differences in strategies between commitments, obligations and expectations of all stakeholders and the mining company’s policies and </w:t>
      </w:r>
      <w:r w:rsidR="00810BA3">
        <w:rPr>
          <w:rFonts w:ascii="Rockwell" w:eastAsia="Times New Roman" w:hAnsi="Rockwell" w:cs="Times New Roman"/>
          <w:sz w:val="24"/>
          <w:szCs w:val="24"/>
        </w:rPr>
        <w:t xml:space="preserve">the mineral </w:t>
      </w:r>
      <w:r w:rsidRPr="004A76D7">
        <w:rPr>
          <w:rFonts w:ascii="Rockwell" w:eastAsia="Times New Roman" w:hAnsi="Rockwell" w:cs="Times New Roman"/>
          <w:sz w:val="24"/>
          <w:szCs w:val="24"/>
        </w:rPr>
        <w:t xml:space="preserve">deposits </w:t>
      </w:r>
    </w:p>
    <w:p w:rsidR="008E29E3" w:rsidRPr="004A76D7" w:rsidRDefault="008E29E3" w:rsidP="000E7DFC">
      <w:pPr>
        <w:numPr>
          <w:ilvl w:val="0"/>
          <w:numId w:val="3"/>
        </w:numPr>
        <w:jc w:val="both"/>
        <w:rPr>
          <w:rFonts w:ascii="Rockwell" w:hAnsi="Rockwell"/>
          <w:sz w:val="24"/>
          <w:szCs w:val="24"/>
        </w:rPr>
      </w:pPr>
      <w:r w:rsidRPr="004A76D7">
        <w:rPr>
          <w:rFonts w:ascii="Rockwell" w:eastAsia="Times New Roman" w:hAnsi="Rockwell" w:cs="Times New Roman"/>
          <w:sz w:val="24"/>
          <w:szCs w:val="24"/>
        </w:rPr>
        <w:t xml:space="preserve">The suitability and appropriateness of the cost modelling techniques, and the financial assurance and closure provision estimation processes adopted by the company </w:t>
      </w:r>
    </w:p>
    <w:p w:rsidR="008E29E3" w:rsidRPr="004A76D7" w:rsidRDefault="008E29E3" w:rsidP="000E7DFC">
      <w:pPr>
        <w:numPr>
          <w:ilvl w:val="0"/>
          <w:numId w:val="3"/>
        </w:numPr>
        <w:jc w:val="both"/>
        <w:rPr>
          <w:rFonts w:ascii="Rockwell" w:hAnsi="Rockwell"/>
          <w:sz w:val="24"/>
          <w:szCs w:val="24"/>
        </w:rPr>
      </w:pPr>
      <w:r w:rsidRPr="004A76D7">
        <w:rPr>
          <w:rFonts w:ascii="Rockwell" w:eastAsia="Times New Roman" w:hAnsi="Rockwell" w:cs="Times New Roman"/>
          <w:sz w:val="24"/>
          <w:szCs w:val="24"/>
        </w:rPr>
        <w:t xml:space="preserve">The relevancy of the nominated investigations, studies and remediation techniques and equipment required for the planned remediation activities </w:t>
      </w:r>
    </w:p>
    <w:p w:rsidR="008E29E3" w:rsidRPr="004A76D7" w:rsidRDefault="008E29E3" w:rsidP="000E7DFC">
      <w:pPr>
        <w:numPr>
          <w:ilvl w:val="0"/>
          <w:numId w:val="3"/>
        </w:numPr>
        <w:jc w:val="both"/>
        <w:rPr>
          <w:rFonts w:ascii="Rockwell" w:hAnsi="Rockwell"/>
          <w:sz w:val="24"/>
          <w:szCs w:val="24"/>
        </w:rPr>
      </w:pPr>
      <w:r w:rsidRPr="004A76D7">
        <w:rPr>
          <w:rFonts w:ascii="Rockwell" w:eastAsia="Times New Roman" w:hAnsi="Rockwell" w:cs="Times New Roman"/>
          <w:sz w:val="24"/>
          <w:szCs w:val="24"/>
        </w:rPr>
        <w:t xml:space="preserve">The adoption of appropriate cost and productivity inputs for the nominated remediation strategy, equipment and other support activities (including the application of third-party contractor rates) </w:t>
      </w:r>
    </w:p>
    <w:p w:rsidR="008E29E3" w:rsidRPr="004A76D7" w:rsidRDefault="008E29E3" w:rsidP="000E7DFC">
      <w:pPr>
        <w:numPr>
          <w:ilvl w:val="0"/>
          <w:numId w:val="3"/>
        </w:numPr>
        <w:jc w:val="both"/>
        <w:rPr>
          <w:rFonts w:ascii="Rockwell" w:hAnsi="Rockwell"/>
          <w:sz w:val="24"/>
          <w:szCs w:val="24"/>
        </w:rPr>
      </w:pPr>
      <w:r w:rsidRPr="004A76D7">
        <w:rPr>
          <w:rFonts w:ascii="Rockwell" w:eastAsia="Times New Roman" w:hAnsi="Rockwell" w:cs="Times New Roman"/>
          <w:sz w:val="24"/>
          <w:szCs w:val="24"/>
        </w:rPr>
        <w:t xml:space="preserve">The establishment of discrete land management units with similar geophysical and management characteristics, designated as domains or precincts (in addition to which there are elements of mine closure activities not confined to single domains, such as post-closure monitoring, water management, project management and contaminated land management) </w:t>
      </w:r>
    </w:p>
    <w:p w:rsidR="008E29E3" w:rsidRPr="004A76D7" w:rsidRDefault="008E29E3" w:rsidP="000E7DFC">
      <w:pPr>
        <w:numPr>
          <w:ilvl w:val="0"/>
          <w:numId w:val="3"/>
        </w:numPr>
        <w:spacing w:after="240"/>
        <w:jc w:val="both"/>
        <w:rPr>
          <w:rFonts w:ascii="Rockwell" w:hAnsi="Rockwell"/>
          <w:sz w:val="24"/>
          <w:szCs w:val="24"/>
        </w:rPr>
      </w:pPr>
      <w:r w:rsidRPr="004A76D7">
        <w:rPr>
          <w:rFonts w:ascii="Rockwell" w:eastAsia="Times New Roman" w:hAnsi="Rockwell" w:cs="Times New Roman"/>
          <w:sz w:val="24"/>
          <w:szCs w:val="24"/>
        </w:rPr>
        <w:t xml:space="preserve">Equipment </w:t>
      </w:r>
      <w:r w:rsidR="00AD5D8B" w:rsidRPr="004A76D7">
        <w:rPr>
          <w:rFonts w:ascii="Rockwell" w:eastAsia="Times New Roman" w:hAnsi="Rockwell" w:cs="Times New Roman"/>
          <w:sz w:val="24"/>
          <w:szCs w:val="24"/>
        </w:rPr>
        <w:t>mobilization</w:t>
      </w:r>
      <w:r w:rsidRPr="004A76D7">
        <w:rPr>
          <w:rFonts w:ascii="Rockwell" w:eastAsia="Times New Roman" w:hAnsi="Rockwell" w:cs="Times New Roman"/>
          <w:sz w:val="24"/>
          <w:szCs w:val="24"/>
        </w:rPr>
        <w:t xml:space="preserve"> and </w:t>
      </w:r>
      <w:r w:rsidR="00AD5D8B" w:rsidRPr="004A76D7">
        <w:rPr>
          <w:rFonts w:ascii="Rockwell" w:eastAsia="Times New Roman" w:hAnsi="Rockwell" w:cs="Times New Roman"/>
          <w:sz w:val="24"/>
          <w:szCs w:val="24"/>
        </w:rPr>
        <w:t>demobilization</w:t>
      </w:r>
      <w:r w:rsidRPr="004A76D7">
        <w:rPr>
          <w:rFonts w:ascii="Rockwell" w:eastAsia="Times New Roman" w:hAnsi="Rockwell" w:cs="Times New Roman"/>
          <w:sz w:val="24"/>
          <w:szCs w:val="24"/>
        </w:rPr>
        <w:t>, contractor margins, management costs, training, survey, and support amenities and services.</w:t>
      </w:r>
    </w:p>
    <w:p w:rsidR="008E29E3" w:rsidRPr="004A76D7" w:rsidRDefault="008E29E3" w:rsidP="00810BA3">
      <w:pPr>
        <w:pStyle w:val="Heading3"/>
        <w:numPr>
          <w:ilvl w:val="0"/>
          <w:numId w:val="25"/>
        </w:numPr>
        <w:jc w:val="both"/>
        <w:rPr>
          <w:rFonts w:ascii="Rockwell" w:eastAsia="Times New Roman" w:hAnsi="Rockwell" w:cs="Times New Roman"/>
          <w:b/>
          <w:sz w:val="24"/>
          <w:szCs w:val="24"/>
        </w:rPr>
      </w:pPr>
      <w:bookmarkStart w:id="29" w:name="_Toc209047116"/>
      <w:r w:rsidRPr="004A76D7">
        <w:rPr>
          <w:rFonts w:ascii="Rockwell" w:eastAsia="Times New Roman" w:hAnsi="Rockwell" w:cs="Times New Roman"/>
          <w:b/>
          <w:sz w:val="24"/>
          <w:szCs w:val="24"/>
        </w:rPr>
        <w:t>Implementation Schedule</w:t>
      </w:r>
      <w:bookmarkEnd w:id="29"/>
    </w:p>
    <w:p w:rsidR="008E29E3" w:rsidRPr="004A76D7" w:rsidRDefault="008E29E3"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The mineral </w:t>
      </w:r>
      <w:r w:rsidR="00AD5D8B" w:rsidRPr="004A76D7">
        <w:rPr>
          <w:rFonts w:ascii="Rockwell" w:eastAsia="Times New Roman" w:hAnsi="Rockwell" w:cs="Times New Roman"/>
          <w:sz w:val="24"/>
          <w:szCs w:val="24"/>
        </w:rPr>
        <w:t>rights holder</w:t>
      </w:r>
      <w:r w:rsidRPr="004A76D7">
        <w:rPr>
          <w:rFonts w:ascii="Rockwell" w:eastAsia="Times New Roman" w:hAnsi="Rockwell" w:cs="Times New Roman"/>
          <w:sz w:val="24"/>
          <w:szCs w:val="24"/>
        </w:rPr>
        <w:t xml:space="preserve"> </w:t>
      </w:r>
      <w:r w:rsidR="00595BCA">
        <w:rPr>
          <w:rFonts w:ascii="Rockwell" w:eastAsia="Times New Roman" w:hAnsi="Rockwell" w:cs="Times New Roman"/>
          <w:sz w:val="24"/>
          <w:szCs w:val="24"/>
        </w:rPr>
        <w:t>should</w:t>
      </w:r>
      <w:r w:rsidRPr="004A76D7">
        <w:rPr>
          <w:rFonts w:ascii="Rockwell" w:eastAsia="Times New Roman" w:hAnsi="Rockwell" w:cs="Times New Roman"/>
          <w:sz w:val="24"/>
          <w:szCs w:val="24"/>
        </w:rPr>
        <w:t xml:space="preserve"> provide the timeline required to satisfactorily complete each component in the remediation management plan. Emphasis should be made on progressive remediation process and post remediation care.</w:t>
      </w:r>
    </w:p>
    <w:p w:rsidR="008E29E3" w:rsidRPr="004A76D7" w:rsidRDefault="008E29E3" w:rsidP="00810BA3">
      <w:pPr>
        <w:pStyle w:val="Heading3"/>
        <w:numPr>
          <w:ilvl w:val="0"/>
          <w:numId w:val="25"/>
        </w:numPr>
        <w:jc w:val="both"/>
        <w:rPr>
          <w:rFonts w:ascii="Rockwell" w:eastAsia="Times New Roman" w:hAnsi="Rockwell" w:cs="Times New Roman"/>
          <w:b/>
          <w:sz w:val="24"/>
          <w:szCs w:val="24"/>
        </w:rPr>
      </w:pPr>
      <w:bookmarkStart w:id="30" w:name="_Toc209047117"/>
      <w:r w:rsidRPr="004A76D7">
        <w:rPr>
          <w:rFonts w:ascii="Rockwell" w:eastAsia="Times New Roman" w:hAnsi="Rockwell" w:cs="Times New Roman"/>
          <w:b/>
          <w:sz w:val="24"/>
          <w:szCs w:val="24"/>
        </w:rPr>
        <w:lastRenderedPageBreak/>
        <w:t>Responsibility</w:t>
      </w:r>
      <w:bookmarkEnd w:id="30"/>
    </w:p>
    <w:p w:rsidR="008E29E3" w:rsidRPr="004A76D7" w:rsidRDefault="00595BCA" w:rsidP="000E7DFC">
      <w:pPr>
        <w:spacing w:before="240"/>
        <w:jc w:val="both"/>
        <w:rPr>
          <w:rFonts w:ascii="Rockwell" w:eastAsia="Times New Roman" w:hAnsi="Rockwell" w:cs="Times New Roman"/>
          <w:sz w:val="24"/>
          <w:szCs w:val="24"/>
        </w:rPr>
      </w:pPr>
      <w:r>
        <w:rPr>
          <w:rFonts w:ascii="Rockwell" w:eastAsia="Times New Roman" w:hAnsi="Rockwell" w:cs="Times New Roman"/>
          <w:sz w:val="24"/>
          <w:szCs w:val="24"/>
        </w:rPr>
        <w:t>The mineral Rights holder should</w:t>
      </w:r>
      <w:r w:rsidR="008E29E3" w:rsidRPr="004A76D7">
        <w:rPr>
          <w:rFonts w:ascii="Rockwell" w:eastAsia="Times New Roman" w:hAnsi="Rockwell" w:cs="Times New Roman"/>
          <w:sz w:val="24"/>
          <w:szCs w:val="24"/>
        </w:rPr>
        <w:t xml:space="preserve"> allocate the requisite financial, technological and human resources to undertake the Remediation. A mention of the Regulatory Authorities who shall undertake monitoring and oversight roles to verify and ensure compliance with the remediation Standards should also be included.</w:t>
      </w:r>
    </w:p>
    <w:p w:rsidR="008E29E3" w:rsidRPr="004A76D7" w:rsidRDefault="008E29E3" w:rsidP="00810BA3">
      <w:pPr>
        <w:pStyle w:val="Heading3"/>
        <w:numPr>
          <w:ilvl w:val="0"/>
          <w:numId w:val="25"/>
        </w:numPr>
        <w:jc w:val="both"/>
        <w:rPr>
          <w:rFonts w:ascii="Rockwell" w:eastAsia="Times New Roman" w:hAnsi="Rockwell" w:cs="Times New Roman"/>
          <w:b/>
          <w:sz w:val="24"/>
          <w:szCs w:val="24"/>
        </w:rPr>
      </w:pPr>
      <w:bookmarkStart w:id="31" w:name="_Toc209047118"/>
      <w:r w:rsidRPr="004A76D7">
        <w:rPr>
          <w:rFonts w:ascii="Rockwell" w:eastAsia="Times New Roman" w:hAnsi="Rockwell" w:cs="Times New Roman"/>
          <w:b/>
          <w:sz w:val="24"/>
          <w:szCs w:val="24"/>
        </w:rPr>
        <w:t>Monitoring Mechanisms and monitoring Indicators</w:t>
      </w:r>
      <w:bookmarkEnd w:id="31"/>
    </w:p>
    <w:p w:rsidR="008E29E3" w:rsidRPr="004A76D7" w:rsidRDefault="00595BCA" w:rsidP="000E7DFC">
      <w:pPr>
        <w:spacing w:before="240"/>
        <w:jc w:val="both"/>
        <w:rPr>
          <w:rFonts w:ascii="Rockwell" w:eastAsia="Times New Roman" w:hAnsi="Rockwell" w:cs="Times New Roman"/>
          <w:sz w:val="24"/>
          <w:szCs w:val="24"/>
        </w:rPr>
      </w:pPr>
      <w:r>
        <w:rPr>
          <w:rFonts w:ascii="Rockwell" w:eastAsia="Times New Roman" w:hAnsi="Rockwell" w:cs="Times New Roman"/>
          <w:sz w:val="24"/>
          <w:szCs w:val="24"/>
        </w:rPr>
        <w:t xml:space="preserve">The mineral right holder should </w:t>
      </w:r>
      <w:r w:rsidR="008E29E3" w:rsidRPr="004A76D7">
        <w:rPr>
          <w:rFonts w:ascii="Rockwell" w:eastAsia="Times New Roman" w:hAnsi="Rockwell" w:cs="Times New Roman"/>
          <w:sz w:val="24"/>
          <w:szCs w:val="24"/>
        </w:rPr>
        <w:t>provide a monitoring and implementation plan with responsible actors and timelines including assessment of post remediation conditions.</w:t>
      </w:r>
    </w:p>
    <w:p w:rsidR="008E29E3" w:rsidRPr="004A76D7" w:rsidRDefault="008E29E3" w:rsidP="00810BA3">
      <w:pPr>
        <w:pStyle w:val="Heading3"/>
        <w:numPr>
          <w:ilvl w:val="0"/>
          <w:numId w:val="25"/>
        </w:numPr>
        <w:jc w:val="both"/>
        <w:rPr>
          <w:rFonts w:ascii="Rockwell" w:eastAsia="Times New Roman" w:hAnsi="Rockwell" w:cs="Times New Roman"/>
          <w:b/>
          <w:sz w:val="24"/>
          <w:szCs w:val="24"/>
        </w:rPr>
      </w:pPr>
      <w:bookmarkStart w:id="32" w:name="_Toc209047119"/>
      <w:r w:rsidRPr="004A76D7">
        <w:rPr>
          <w:rFonts w:ascii="Rockwell" w:eastAsia="Times New Roman" w:hAnsi="Rockwell" w:cs="Times New Roman"/>
          <w:b/>
          <w:sz w:val="24"/>
          <w:szCs w:val="24"/>
        </w:rPr>
        <w:t>Management, contingency and remediation monitoring costs</w:t>
      </w:r>
      <w:bookmarkEnd w:id="32"/>
    </w:p>
    <w:p w:rsidR="008E29E3" w:rsidRPr="004A76D7" w:rsidRDefault="008E29E3" w:rsidP="000E7DFC">
      <w:pPr>
        <w:shd w:val="clear" w:color="auto" w:fill="F8F8F8"/>
        <w:spacing w:before="240"/>
        <w:jc w:val="both"/>
        <w:rPr>
          <w:rFonts w:ascii="Rockwell" w:eastAsia="Times New Roman" w:hAnsi="Rockwell" w:cs="Times New Roman"/>
          <w:sz w:val="24"/>
          <w:szCs w:val="24"/>
          <w:highlight w:val="white"/>
        </w:rPr>
      </w:pPr>
      <w:r w:rsidRPr="004A76D7">
        <w:rPr>
          <w:rFonts w:ascii="Rockwell" w:eastAsia="Times New Roman" w:hAnsi="Rockwell" w:cs="Times New Roman"/>
          <w:sz w:val="24"/>
          <w:szCs w:val="24"/>
          <w:highlight w:val="white"/>
        </w:rPr>
        <w:t>Project management costs are set at ten percent (10%) of the total remediation liability, which is applicable for all sites regardless of size. Aspects covered by this cost include:</w:t>
      </w:r>
    </w:p>
    <w:p w:rsidR="008E29E3" w:rsidRPr="004A76D7" w:rsidRDefault="008E29E3" w:rsidP="000E7DFC">
      <w:pPr>
        <w:shd w:val="clear" w:color="auto" w:fill="F8F8F8"/>
        <w:ind w:left="1080" w:hanging="360"/>
        <w:jc w:val="both"/>
        <w:rPr>
          <w:rFonts w:ascii="Rockwell" w:eastAsia="Times New Roman" w:hAnsi="Rockwell" w:cs="Times New Roman"/>
          <w:sz w:val="24"/>
          <w:szCs w:val="24"/>
          <w:highlight w:val="white"/>
        </w:rPr>
      </w:pPr>
      <w:r w:rsidRPr="004A76D7">
        <w:rPr>
          <w:rFonts w:ascii="Times New Roman" w:hAnsi="Times New Roman" w:cs="Times New Roman"/>
          <w:sz w:val="24"/>
          <w:szCs w:val="24"/>
          <w:highlight w:val="white"/>
        </w:rPr>
        <w:t>●</w:t>
      </w:r>
      <w:r w:rsidRPr="004A76D7">
        <w:rPr>
          <w:rFonts w:ascii="Rockwell" w:eastAsia="Times New Roman" w:hAnsi="Rockwell" w:cs="Times New Roman"/>
          <w:sz w:val="24"/>
          <w:szCs w:val="24"/>
          <w:highlight w:val="white"/>
        </w:rPr>
        <w:t xml:space="preserve">        </w:t>
      </w:r>
      <w:proofErr w:type="gramStart"/>
      <w:r w:rsidRPr="004A76D7">
        <w:rPr>
          <w:rFonts w:ascii="Rockwell" w:eastAsia="Times New Roman" w:hAnsi="Rockwell" w:cs="Times New Roman"/>
          <w:sz w:val="24"/>
          <w:szCs w:val="24"/>
          <w:highlight w:val="white"/>
        </w:rPr>
        <w:t>the</w:t>
      </w:r>
      <w:proofErr w:type="gramEnd"/>
      <w:r w:rsidRPr="004A76D7">
        <w:rPr>
          <w:rFonts w:ascii="Rockwell" w:eastAsia="Times New Roman" w:hAnsi="Rockwell" w:cs="Times New Roman"/>
          <w:sz w:val="24"/>
          <w:szCs w:val="24"/>
          <w:highlight w:val="white"/>
        </w:rPr>
        <w:t xml:space="preserve"> administration process of calling in a bond</w:t>
      </w:r>
    </w:p>
    <w:p w:rsidR="008E29E3" w:rsidRPr="004A76D7" w:rsidRDefault="008E29E3" w:rsidP="000E7DFC">
      <w:pPr>
        <w:shd w:val="clear" w:color="auto" w:fill="F8F8F8"/>
        <w:ind w:left="1080" w:hanging="360"/>
        <w:jc w:val="both"/>
        <w:rPr>
          <w:rFonts w:ascii="Rockwell" w:eastAsia="Times New Roman" w:hAnsi="Rockwell" w:cs="Times New Roman"/>
          <w:sz w:val="24"/>
          <w:szCs w:val="24"/>
          <w:highlight w:val="white"/>
        </w:rPr>
      </w:pPr>
      <w:r w:rsidRPr="004A76D7">
        <w:rPr>
          <w:rFonts w:ascii="Times New Roman" w:hAnsi="Times New Roman" w:cs="Times New Roman"/>
          <w:sz w:val="24"/>
          <w:szCs w:val="24"/>
          <w:highlight w:val="white"/>
        </w:rPr>
        <w:t>●</w:t>
      </w:r>
      <w:r w:rsidRPr="004A76D7">
        <w:rPr>
          <w:rFonts w:ascii="Rockwell" w:eastAsia="Times New Roman" w:hAnsi="Rockwell" w:cs="Times New Roman"/>
          <w:sz w:val="24"/>
          <w:szCs w:val="24"/>
          <w:highlight w:val="white"/>
        </w:rPr>
        <w:t xml:space="preserve">      project management, such as the specification of remediation tasks (e.g. preparation of detailed maps to show the extent of remediation tasks, surveys to determine extent, characteristics and location of reclamation materials such as overburden and topsoil, sampling and analysis of soils and water, and evaluation of structures to determine requirements for demolition and removal) and the administration of contracts.</w:t>
      </w:r>
    </w:p>
    <w:p w:rsidR="008E29E3" w:rsidRPr="004A76D7" w:rsidRDefault="008E29E3" w:rsidP="000E7DFC">
      <w:pPr>
        <w:shd w:val="clear" w:color="auto" w:fill="F8F8F8"/>
        <w:spacing w:after="240"/>
        <w:ind w:left="1080" w:hanging="360"/>
        <w:jc w:val="both"/>
        <w:rPr>
          <w:rFonts w:ascii="Rockwell" w:eastAsia="Times New Roman" w:hAnsi="Rockwell" w:cs="Times New Roman"/>
          <w:sz w:val="24"/>
          <w:szCs w:val="24"/>
          <w:highlight w:val="white"/>
        </w:rPr>
      </w:pPr>
      <w:r w:rsidRPr="004A76D7">
        <w:rPr>
          <w:rFonts w:ascii="Times New Roman" w:hAnsi="Times New Roman" w:cs="Times New Roman"/>
          <w:sz w:val="24"/>
          <w:szCs w:val="24"/>
          <w:highlight w:val="white"/>
        </w:rPr>
        <w:t>●</w:t>
      </w:r>
      <w:r w:rsidRPr="004A76D7">
        <w:rPr>
          <w:rFonts w:ascii="Rockwell" w:eastAsia="Times New Roman" w:hAnsi="Rockwell" w:cs="Times New Roman"/>
          <w:sz w:val="24"/>
          <w:szCs w:val="24"/>
          <w:highlight w:val="white"/>
        </w:rPr>
        <w:t xml:space="preserve">    </w:t>
      </w:r>
      <w:proofErr w:type="gramStart"/>
      <w:r w:rsidRPr="004A76D7">
        <w:rPr>
          <w:rFonts w:ascii="Rockwell" w:eastAsia="Times New Roman" w:hAnsi="Rockwell" w:cs="Times New Roman"/>
          <w:sz w:val="24"/>
          <w:szCs w:val="24"/>
          <w:highlight w:val="white"/>
        </w:rPr>
        <w:t>management</w:t>
      </w:r>
      <w:proofErr w:type="gramEnd"/>
      <w:r w:rsidRPr="004A76D7">
        <w:rPr>
          <w:rFonts w:ascii="Rockwell" w:eastAsia="Times New Roman" w:hAnsi="Rockwell" w:cs="Times New Roman"/>
          <w:sz w:val="24"/>
          <w:szCs w:val="24"/>
          <w:highlight w:val="white"/>
        </w:rPr>
        <w:t xml:space="preserve"> and maintenance of the site by the regulator prior to the remediation contracts taking effect (e.g. fencing, signage, access, utilities and on site water management).</w:t>
      </w:r>
    </w:p>
    <w:p w:rsidR="008E29E3" w:rsidRPr="004A76D7" w:rsidRDefault="008E29E3" w:rsidP="000E7DFC">
      <w:pPr>
        <w:shd w:val="clear" w:color="auto" w:fill="F8F8F8"/>
        <w:spacing w:before="240"/>
        <w:jc w:val="both"/>
        <w:rPr>
          <w:rFonts w:ascii="Rockwell" w:eastAsia="Times New Roman" w:hAnsi="Rockwell" w:cs="Times New Roman"/>
          <w:sz w:val="24"/>
          <w:szCs w:val="24"/>
          <w:highlight w:val="white"/>
        </w:rPr>
      </w:pPr>
      <w:r w:rsidRPr="004A76D7">
        <w:rPr>
          <w:rFonts w:ascii="Rockwell" w:eastAsia="Times New Roman" w:hAnsi="Rockwell" w:cs="Times New Roman"/>
          <w:sz w:val="24"/>
          <w:szCs w:val="24"/>
          <w:highlight w:val="white"/>
        </w:rPr>
        <w:t xml:space="preserve">Contingency costs are set at a minimum of ten percent (10%) of the total remediation liability. Aspects covered under contingencies include remediation tasks not envisaged or appropriately </w:t>
      </w:r>
      <w:proofErr w:type="spellStart"/>
      <w:r w:rsidRPr="004A76D7">
        <w:rPr>
          <w:rFonts w:ascii="Rockwell" w:eastAsia="Times New Roman" w:hAnsi="Rockwell" w:cs="Times New Roman"/>
          <w:sz w:val="24"/>
          <w:szCs w:val="24"/>
          <w:highlight w:val="white"/>
        </w:rPr>
        <w:t>costed</w:t>
      </w:r>
      <w:proofErr w:type="spellEnd"/>
      <w:r w:rsidRPr="004A76D7">
        <w:rPr>
          <w:rFonts w:ascii="Rockwell" w:eastAsia="Times New Roman" w:hAnsi="Rockwell" w:cs="Times New Roman"/>
          <w:sz w:val="24"/>
          <w:szCs w:val="24"/>
          <w:highlight w:val="white"/>
        </w:rPr>
        <w:t xml:space="preserve"> in initial estimates, or failures in remediation works, such as </w:t>
      </w:r>
      <w:proofErr w:type="spellStart"/>
      <w:r w:rsidRPr="004A76D7">
        <w:rPr>
          <w:rFonts w:ascii="Rockwell" w:eastAsia="Times New Roman" w:hAnsi="Rockwell" w:cs="Times New Roman"/>
          <w:sz w:val="24"/>
          <w:szCs w:val="24"/>
          <w:highlight w:val="white"/>
        </w:rPr>
        <w:t>revegetation</w:t>
      </w:r>
      <w:proofErr w:type="spellEnd"/>
      <w:r w:rsidRPr="004A76D7">
        <w:rPr>
          <w:rFonts w:ascii="Rockwell" w:eastAsia="Times New Roman" w:hAnsi="Rockwell" w:cs="Times New Roman"/>
          <w:sz w:val="24"/>
          <w:szCs w:val="24"/>
          <w:highlight w:val="white"/>
        </w:rPr>
        <w:t xml:space="preserve"> establishment or earthworks. In some circumstances, the regulator may apply a higher contingency rate depending on the complexity of environmental management of the operation.</w:t>
      </w:r>
    </w:p>
    <w:p w:rsidR="008E29E3" w:rsidRPr="004A76D7" w:rsidRDefault="008E29E3" w:rsidP="000E7DFC">
      <w:pPr>
        <w:shd w:val="clear" w:color="auto" w:fill="F8F8F8"/>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A monitoring cost is included for larger sites to cover any environmental monitoring required during remediation, such as dust levels, noise levels, water quality and ongoing inspections of remediation works. This is set at five percent (5%) of the total remediation liability.</w:t>
      </w:r>
    </w:p>
    <w:p w:rsidR="008E29E3" w:rsidRPr="004A76D7" w:rsidRDefault="008E29E3" w:rsidP="000E7DFC">
      <w:pPr>
        <w:pStyle w:val="Heading2"/>
        <w:jc w:val="both"/>
        <w:rPr>
          <w:rFonts w:ascii="Rockwell" w:eastAsia="Times New Roman" w:hAnsi="Rockwell" w:cs="Times New Roman"/>
          <w:b/>
          <w:sz w:val="24"/>
          <w:szCs w:val="24"/>
        </w:rPr>
      </w:pPr>
      <w:bookmarkStart w:id="33" w:name="_Toc209047120"/>
      <w:r w:rsidRPr="004A76D7">
        <w:rPr>
          <w:rFonts w:ascii="Rockwell" w:eastAsia="Times New Roman" w:hAnsi="Rockwell" w:cs="Times New Roman"/>
          <w:b/>
          <w:sz w:val="24"/>
          <w:szCs w:val="24"/>
        </w:rPr>
        <w:t xml:space="preserve">4.1.2 </w:t>
      </w:r>
      <w:proofErr w:type="gramStart"/>
      <w:r w:rsidRPr="004A76D7">
        <w:rPr>
          <w:rFonts w:ascii="Rockwell" w:eastAsia="Times New Roman" w:hAnsi="Rockwell" w:cs="Times New Roman"/>
          <w:b/>
          <w:sz w:val="24"/>
          <w:szCs w:val="24"/>
        </w:rPr>
        <w:t>key</w:t>
      </w:r>
      <w:proofErr w:type="gramEnd"/>
      <w:r w:rsidRPr="004A76D7">
        <w:rPr>
          <w:rFonts w:ascii="Rockwell" w:eastAsia="Times New Roman" w:hAnsi="Rockwell" w:cs="Times New Roman"/>
          <w:b/>
          <w:sz w:val="24"/>
          <w:szCs w:val="24"/>
        </w:rPr>
        <w:t xml:space="preserve"> mine site remediation parameters and </w:t>
      </w:r>
      <w:proofErr w:type="spellStart"/>
      <w:r w:rsidRPr="004A76D7">
        <w:rPr>
          <w:rFonts w:ascii="Rockwell" w:eastAsia="Times New Roman" w:hAnsi="Rockwell" w:cs="Times New Roman"/>
          <w:b/>
          <w:sz w:val="24"/>
          <w:szCs w:val="24"/>
        </w:rPr>
        <w:t>monitorable</w:t>
      </w:r>
      <w:proofErr w:type="spellEnd"/>
      <w:r w:rsidRPr="004A76D7">
        <w:rPr>
          <w:rFonts w:ascii="Rockwell" w:eastAsia="Times New Roman" w:hAnsi="Rockwell" w:cs="Times New Roman"/>
          <w:b/>
          <w:sz w:val="24"/>
          <w:szCs w:val="24"/>
        </w:rPr>
        <w:t xml:space="preserve"> indicators</w:t>
      </w:r>
      <w:bookmarkEnd w:id="33"/>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For guidance purposes, below are key mine site remediation parameters and </w:t>
      </w:r>
      <w:proofErr w:type="spellStart"/>
      <w:r w:rsidRPr="004A76D7">
        <w:rPr>
          <w:rFonts w:ascii="Rockwell" w:eastAsia="Times New Roman" w:hAnsi="Rockwell" w:cs="Times New Roman"/>
          <w:sz w:val="24"/>
          <w:szCs w:val="24"/>
        </w:rPr>
        <w:t>monitorable</w:t>
      </w:r>
      <w:proofErr w:type="spellEnd"/>
      <w:r w:rsidRPr="004A76D7">
        <w:rPr>
          <w:rFonts w:ascii="Rockwell" w:eastAsia="Times New Roman" w:hAnsi="Rockwell" w:cs="Times New Roman"/>
          <w:sz w:val="24"/>
          <w:szCs w:val="24"/>
        </w:rPr>
        <w:t xml:space="preserve"> indicators (among others) that should form part of the remediation plan:</w:t>
      </w:r>
    </w:p>
    <w:p w:rsidR="008E29E3" w:rsidRPr="004A76D7" w:rsidRDefault="008E29E3" w:rsidP="00866B62">
      <w:pPr>
        <w:pStyle w:val="Heading3"/>
        <w:numPr>
          <w:ilvl w:val="0"/>
          <w:numId w:val="26"/>
        </w:numPr>
        <w:jc w:val="both"/>
        <w:rPr>
          <w:rFonts w:ascii="Rockwell" w:eastAsia="Times New Roman" w:hAnsi="Rockwell" w:cs="Times New Roman"/>
          <w:b/>
          <w:sz w:val="24"/>
          <w:szCs w:val="24"/>
        </w:rPr>
      </w:pPr>
      <w:bookmarkStart w:id="34" w:name="_Toc209047121"/>
      <w:r w:rsidRPr="004A76D7">
        <w:rPr>
          <w:rFonts w:ascii="Rockwell" w:eastAsia="Times New Roman" w:hAnsi="Rockwell" w:cs="Times New Roman"/>
          <w:b/>
          <w:sz w:val="24"/>
          <w:szCs w:val="24"/>
        </w:rPr>
        <w:lastRenderedPageBreak/>
        <w:t>Water Quality and Quantity:</w:t>
      </w:r>
      <w:bookmarkEnd w:id="34"/>
    </w:p>
    <w:p w:rsidR="00AD5D8B" w:rsidRPr="004A76D7" w:rsidRDefault="008E29E3" w:rsidP="000E7DFC">
      <w:pPr>
        <w:pStyle w:val="ListParagraph"/>
        <w:numPr>
          <w:ilvl w:val="0"/>
          <w:numId w:val="5"/>
        </w:num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Reference should be made to the baseline water quality and quantity status prior to</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the mining operations.</w:t>
      </w:r>
    </w:p>
    <w:p w:rsidR="00AD5D8B" w:rsidRPr="004A76D7" w:rsidRDefault="008E29E3" w:rsidP="000E7DFC">
      <w:pPr>
        <w:pStyle w:val="ListParagraph"/>
        <w:numPr>
          <w:ilvl w:val="0"/>
          <w:numId w:val="5"/>
        </w:num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Describe in detail the existing surface and groundwater bodies available in the</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mining areas and the measures to be taken for protection of the same. These should</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include control of erosion, sedimentation, siltation, water treatment, diversion of</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water courses. Additionally, measures for protection of contaminated ground and</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 xml:space="preserve">surface water in particular considering leach pads, waste facilities with </w:t>
      </w:r>
      <w:r w:rsidR="00A75C0E">
        <w:rPr>
          <w:rFonts w:ascii="Rockwell" w:eastAsia="Times New Roman" w:hAnsi="Rockwell" w:cs="Times New Roman"/>
          <w:sz w:val="24"/>
          <w:szCs w:val="24"/>
        </w:rPr>
        <w:t>hazardous</w:t>
      </w:r>
      <w:r w:rsidRPr="004A76D7">
        <w:rPr>
          <w:rFonts w:ascii="Rockwell" w:eastAsia="Times New Roman" w:hAnsi="Rockwell" w:cs="Times New Roman"/>
          <w:sz w:val="24"/>
          <w:szCs w:val="24"/>
        </w:rPr>
        <w:t xml:space="preserve"> mine</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waste, collection ponds or any material containing chemical products or contaminated water, sediments, soils or waste.</w:t>
      </w:r>
    </w:p>
    <w:p w:rsidR="00AD5D8B" w:rsidRPr="004A76D7" w:rsidRDefault="008E29E3" w:rsidP="000E7DFC">
      <w:pPr>
        <w:pStyle w:val="ListParagraph"/>
        <w:numPr>
          <w:ilvl w:val="0"/>
          <w:numId w:val="5"/>
        </w:num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Quantity and quality of surface water bodies should also be indicated and corrective</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measures proposed to meet the water quality standards</w:t>
      </w:r>
      <w:r w:rsidR="00A75C0E">
        <w:rPr>
          <w:rFonts w:ascii="Rockwell" w:eastAsia="Times New Roman" w:hAnsi="Rockwell" w:cs="Times New Roman"/>
          <w:sz w:val="24"/>
          <w:szCs w:val="24"/>
        </w:rPr>
        <w:t xml:space="preserve"> as prescribed in the Environmental Management and Coordination (Water Quality) Regulations, 2024</w:t>
      </w:r>
      <w:r w:rsidRPr="004A76D7">
        <w:rPr>
          <w:rFonts w:ascii="Rockwell" w:eastAsia="Times New Roman" w:hAnsi="Rockwell" w:cs="Times New Roman"/>
          <w:sz w:val="24"/>
          <w:szCs w:val="24"/>
        </w:rPr>
        <w:t>.</w:t>
      </w:r>
    </w:p>
    <w:p w:rsidR="00AD5D8B" w:rsidRPr="004A76D7" w:rsidRDefault="008E29E3" w:rsidP="000E7DFC">
      <w:pPr>
        <w:pStyle w:val="ListParagraph"/>
        <w:numPr>
          <w:ilvl w:val="0"/>
          <w:numId w:val="5"/>
        </w:num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Report of hydrological study carried out in the area may also be submitted</w:t>
      </w:r>
      <w:r w:rsidR="00AD5D8B" w:rsidRPr="004A76D7">
        <w:rPr>
          <w:rFonts w:ascii="Rockwell" w:eastAsia="Times New Roman" w:hAnsi="Rockwell" w:cs="Times New Roman"/>
          <w:sz w:val="24"/>
          <w:szCs w:val="24"/>
        </w:rPr>
        <w:t>.</w:t>
      </w:r>
    </w:p>
    <w:p w:rsidR="00472505" w:rsidRDefault="008E29E3" w:rsidP="007169A8">
      <w:pPr>
        <w:pStyle w:val="ListParagraph"/>
        <w:numPr>
          <w:ilvl w:val="0"/>
          <w:numId w:val="5"/>
        </w:numPr>
        <w:spacing w:before="240" w:after="240"/>
        <w:jc w:val="both"/>
        <w:rPr>
          <w:rFonts w:ascii="Rockwell" w:eastAsia="Times New Roman" w:hAnsi="Rockwell" w:cs="Times New Roman"/>
          <w:sz w:val="24"/>
          <w:szCs w:val="24"/>
        </w:rPr>
      </w:pPr>
      <w:r w:rsidRPr="00472505">
        <w:rPr>
          <w:rFonts w:ascii="Rockwell" w:eastAsia="Times New Roman" w:hAnsi="Rockwell" w:cs="Times New Roman"/>
          <w:sz w:val="24"/>
          <w:szCs w:val="24"/>
        </w:rPr>
        <w:t>The water balance chart should be given</w:t>
      </w:r>
      <w:r w:rsidR="00A75C0E" w:rsidRPr="00472505">
        <w:rPr>
          <w:rFonts w:ascii="Rockwell" w:eastAsia="Times New Roman" w:hAnsi="Rockwell" w:cs="Times New Roman"/>
          <w:sz w:val="24"/>
          <w:szCs w:val="24"/>
        </w:rPr>
        <w:t xml:space="preserve"> to indicate the </w:t>
      </w:r>
      <w:r w:rsidR="00472505" w:rsidRPr="00472505">
        <w:rPr>
          <w:rFonts w:ascii="Rockwell" w:eastAsia="Times New Roman" w:hAnsi="Rockwell" w:cs="Times New Roman"/>
          <w:sz w:val="24"/>
          <w:szCs w:val="24"/>
        </w:rPr>
        <w:t xml:space="preserve">quantity of </w:t>
      </w:r>
      <w:r w:rsidR="00A75C0E" w:rsidRPr="00472505">
        <w:rPr>
          <w:rFonts w:ascii="Rockwell" w:eastAsia="Times New Roman" w:hAnsi="Rockwell" w:cs="Times New Roman"/>
          <w:sz w:val="24"/>
          <w:szCs w:val="24"/>
        </w:rPr>
        <w:t xml:space="preserve">water </w:t>
      </w:r>
      <w:r w:rsidR="00472505" w:rsidRPr="00472505">
        <w:rPr>
          <w:rFonts w:ascii="Rockwell" w:eastAsia="Times New Roman" w:hAnsi="Rockwell" w:cs="Times New Roman"/>
          <w:sz w:val="24"/>
          <w:szCs w:val="24"/>
        </w:rPr>
        <w:t xml:space="preserve">supplied, </w:t>
      </w:r>
      <w:r w:rsidR="00A75C0E" w:rsidRPr="00472505">
        <w:rPr>
          <w:rFonts w:ascii="Rockwell" w:eastAsia="Times New Roman" w:hAnsi="Rockwell" w:cs="Times New Roman"/>
          <w:sz w:val="24"/>
          <w:szCs w:val="24"/>
        </w:rPr>
        <w:t>us</w:t>
      </w:r>
      <w:r w:rsidR="00472505" w:rsidRPr="00472505">
        <w:rPr>
          <w:rFonts w:ascii="Rockwell" w:eastAsia="Times New Roman" w:hAnsi="Rockwell" w:cs="Times New Roman"/>
          <w:sz w:val="24"/>
          <w:szCs w:val="24"/>
        </w:rPr>
        <w:t xml:space="preserve">ed, stored and discharged in </w:t>
      </w:r>
      <w:r w:rsidR="00A75C0E" w:rsidRPr="00472505">
        <w:rPr>
          <w:rFonts w:ascii="Rockwell" w:eastAsia="Times New Roman" w:hAnsi="Rockwell" w:cs="Times New Roman"/>
          <w:sz w:val="24"/>
          <w:szCs w:val="24"/>
        </w:rPr>
        <w:t>which total water input should be equal to total water output</w:t>
      </w:r>
      <w:r w:rsidRPr="00472505">
        <w:rPr>
          <w:rFonts w:ascii="Rockwell" w:eastAsia="Times New Roman" w:hAnsi="Rockwell" w:cs="Times New Roman"/>
          <w:sz w:val="24"/>
          <w:szCs w:val="24"/>
        </w:rPr>
        <w:t>.</w:t>
      </w:r>
      <w:r w:rsidR="00A75C0E" w:rsidRPr="00472505">
        <w:rPr>
          <w:rFonts w:ascii="Rockwell" w:eastAsia="Times New Roman" w:hAnsi="Rockwell" w:cs="Times New Roman"/>
          <w:sz w:val="24"/>
          <w:szCs w:val="24"/>
        </w:rPr>
        <w:t xml:space="preserve"> </w:t>
      </w:r>
    </w:p>
    <w:p w:rsidR="00AD5D8B" w:rsidRPr="00472505" w:rsidRDefault="008E29E3" w:rsidP="007169A8">
      <w:pPr>
        <w:pStyle w:val="ListParagraph"/>
        <w:numPr>
          <w:ilvl w:val="0"/>
          <w:numId w:val="5"/>
        </w:numPr>
        <w:spacing w:before="240" w:after="240"/>
        <w:jc w:val="both"/>
        <w:rPr>
          <w:rFonts w:ascii="Rockwell" w:eastAsia="Times New Roman" w:hAnsi="Rockwell" w:cs="Times New Roman"/>
          <w:sz w:val="24"/>
          <w:szCs w:val="24"/>
        </w:rPr>
      </w:pPr>
      <w:r w:rsidRPr="00472505">
        <w:rPr>
          <w:rFonts w:ascii="Rockwell" w:eastAsia="Times New Roman" w:hAnsi="Rockwell" w:cs="Times New Roman"/>
          <w:sz w:val="24"/>
          <w:szCs w:val="24"/>
        </w:rPr>
        <w:t>If there is potential of acid mine drainage the method of prevention and treatment</w:t>
      </w:r>
      <w:r w:rsidR="00AD5D8B" w:rsidRPr="00472505">
        <w:rPr>
          <w:rFonts w:ascii="Rockwell" w:eastAsia="Times New Roman" w:hAnsi="Rockwell" w:cs="Times New Roman"/>
          <w:sz w:val="24"/>
          <w:szCs w:val="24"/>
        </w:rPr>
        <w:t xml:space="preserve"> </w:t>
      </w:r>
      <w:r w:rsidRPr="00472505">
        <w:rPr>
          <w:rFonts w:ascii="Rockwell" w:eastAsia="Times New Roman" w:hAnsi="Rockwell" w:cs="Times New Roman"/>
          <w:sz w:val="24"/>
          <w:szCs w:val="24"/>
        </w:rPr>
        <w:t>should be given.</w:t>
      </w:r>
    </w:p>
    <w:p w:rsidR="008E29E3" w:rsidRPr="004A76D7" w:rsidRDefault="008E29E3" w:rsidP="000E7DFC">
      <w:pPr>
        <w:pStyle w:val="ListParagraph"/>
        <w:numPr>
          <w:ilvl w:val="0"/>
          <w:numId w:val="5"/>
        </w:num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Sampling and analysis of the applicable parameters such as heavy metals, PH,</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total hardness, calcium hardness, magnesium hardness, chlorides, sulfates and tota</w:t>
      </w:r>
      <w:r w:rsidR="00AD5D8B" w:rsidRPr="004A76D7">
        <w:rPr>
          <w:rFonts w:ascii="Rockwell" w:eastAsia="Times New Roman" w:hAnsi="Rockwell" w:cs="Times New Roman"/>
          <w:sz w:val="24"/>
          <w:szCs w:val="24"/>
        </w:rPr>
        <w:t xml:space="preserve">l </w:t>
      </w:r>
      <w:r w:rsidRPr="004A76D7">
        <w:rPr>
          <w:rFonts w:ascii="Rockwell" w:eastAsia="Times New Roman" w:hAnsi="Rockwell" w:cs="Times New Roman"/>
          <w:sz w:val="24"/>
          <w:szCs w:val="24"/>
        </w:rPr>
        <w:t xml:space="preserve">dissolved solids, grease, Total </w:t>
      </w:r>
      <w:proofErr w:type="spellStart"/>
      <w:r w:rsidRPr="004A76D7">
        <w:rPr>
          <w:rFonts w:ascii="Rockwell" w:eastAsia="Times New Roman" w:hAnsi="Rockwell" w:cs="Times New Roman"/>
          <w:sz w:val="24"/>
          <w:szCs w:val="24"/>
        </w:rPr>
        <w:t>Polyaromatic</w:t>
      </w:r>
      <w:proofErr w:type="spellEnd"/>
      <w:r w:rsidRPr="004A76D7">
        <w:rPr>
          <w:rFonts w:ascii="Rockwell" w:eastAsia="Times New Roman" w:hAnsi="Rockwell" w:cs="Times New Roman"/>
          <w:sz w:val="24"/>
          <w:szCs w:val="24"/>
        </w:rPr>
        <w:t xml:space="preserve"> Hydrocarbons (TPH), Benzene,</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 xml:space="preserve">Toluene, </w:t>
      </w:r>
      <w:proofErr w:type="spellStart"/>
      <w:r w:rsidRPr="004A76D7">
        <w:rPr>
          <w:rFonts w:ascii="Rockwell" w:eastAsia="Times New Roman" w:hAnsi="Rockwell" w:cs="Times New Roman"/>
          <w:sz w:val="24"/>
          <w:szCs w:val="24"/>
        </w:rPr>
        <w:t>Ethylbenzene</w:t>
      </w:r>
      <w:proofErr w:type="spellEnd"/>
      <w:r w:rsidRPr="004A76D7">
        <w:rPr>
          <w:rFonts w:ascii="Rockwell" w:eastAsia="Times New Roman" w:hAnsi="Rockwell" w:cs="Times New Roman"/>
          <w:sz w:val="24"/>
          <w:szCs w:val="24"/>
        </w:rPr>
        <w:t>, Xylene (BTEX) should be considered among others.</w:t>
      </w:r>
    </w:p>
    <w:p w:rsidR="008E29E3" w:rsidRPr="004A76D7" w:rsidRDefault="008E29E3" w:rsidP="000E7DFC">
      <w:pPr>
        <w:pStyle w:val="Heading3"/>
        <w:jc w:val="both"/>
        <w:rPr>
          <w:rFonts w:ascii="Rockwell" w:eastAsia="Times New Roman" w:hAnsi="Rockwell" w:cs="Times New Roman"/>
          <w:b/>
          <w:sz w:val="24"/>
          <w:szCs w:val="24"/>
        </w:rPr>
      </w:pPr>
      <w:r w:rsidRPr="004A76D7">
        <w:rPr>
          <w:rFonts w:ascii="Rockwell" w:eastAsia="Times New Roman" w:hAnsi="Rockwell" w:cs="Times New Roman"/>
          <w:sz w:val="24"/>
          <w:szCs w:val="24"/>
        </w:rPr>
        <w:t xml:space="preserve"> </w:t>
      </w:r>
      <w:bookmarkStart w:id="35" w:name="_Toc209047122"/>
      <w:r w:rsidR="00866B62">
        <w:rPr>
          <w:rFonts w:ascii="Rockwell" w:eastAsia="Times New Roman" w:hAnsi="Rockwell" w:cs="Times New Roman"/>
          <w:b/>
          <w:sz w:val="24"/>
          <w:szCs w:val="24"/>
        </w:rPr>
        <w:t xml:space="preserve">b) </w:t>
      </w:r>
      <w:r w:rsidRPr="004A76D7">
        <w:rPr>
          <w:rFonts w:ascii="Rockwell" w:eastAsia="Times New Roman" w:hAnsi="Rockwell" w:cs="Times New Roman"/>
          <w:b/>
          <w:sz w:val="24"/>
          <w:szCs w:val="24"/>
        </w:rPr>
        <w:t>Air Quality:</w:t>
      </w:r>
      <w:bookmarkEnd w:id="35"/>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w:t>
      </w:r>
      <w:proofErr w:type="spellStart"/>
      <w:r w:rsidRPr="004A76D7">
        <w:rPr>
          <w:rFonts w:ascii="Rockwell" w:eastAsia="Times New Roman" w:hAnsi="Rockwell" w:cs="Times New Roman"/>
          <w:sz w:val="24"/>
          <w:szCs w:val="24"/>
        </w:rPr>
        <w:t>i</w:t>
      </w:r>
      <w:proofErr w:type="spellEnd"/>
      <w:r w:rsidRPr="004A76D7">
        <w:rPr>
          <w:rFonts w:ascii="Rockwell" w:eastAsia="Times New Roman" w:hAnsi="Rockwell" w:cs="Times New Roman"/>
          <w:sz w:val="24"/>
          <w:szCs w:val="24"/>
        </w:rPr>
        <w:t>). Reference should be made to the baseline air quality s</w:t>
      </w:r>
      <w:r w:rsidR="003501B1" w:rsidRPr="004A76D7">
        <w:rPr>
          <w:rFonts w:ascii="Rockwell" w:eastAsia="Times New Roman" w:hAnsi="Rockwell" w:cs="Times New Roman"/>
          <w:sz w:val="24"/>
          <w:szCs w:val="24"/>
        </w:rPr>
        <w:t xml:space="preserve">tatus </w:t>
      </w:r>
      <w:r w:rsidR="00D125C9">
        <w:rPr>
          <w:rFonts w:ascii="Rockwell" w:eastAsia="Times New Roman" w:hAnsi="Rockwell" w:cs="Times New Roman"/>
          <w:sz w:val="24"/>
          <w:szCs w:val="24"/>
        </w:rPr>
        <w:t>(</w:t>
      </w:r>
      <w:r w:rsidR="00D125C9" w:rsidRPr="004A76D7">
        <w:rPr>
          <w:rFonts w:ascii="Rockwell" w:eastAsia="Times New Roman" w:hAnsi="Rockwell" w:cs="Times New Roman"/>
          <w:sz w:val="24"/>
          <w:szCs w:val="24"/>
        </w:rPr>
        <w:t>gaseous emissions and particulate matter among others</w:t>
      </w:r>
      <w:r w:rsidR="00D125C9">
        <w:rPr>
          <w:rFonts w:ascii="Rockwell" w:eastAsia="Times New Roman" w:hAnsi="Rockwell" w:cs="Times New Roman"/>
          <w:sz w:val="24"/>
          <w:szCs w:val="24"/>
        </w:rPr>
        <w:t>)</w:t>
      </w:r>
      <w:r w:rsidR="00D125C9" w:rsidRPr="004A76D7">
        <w:rPr>
          <w:rFonts w:ascii="Rockwell" w:eastAsia="Times New Roman" w:hAnsi="Rockwell" w:cs="Times New Roman"/>
          <w:sz w:val="24"/>
          <w:szCs w:val="24"/>
        </w:rPr>
        <w:t xml:space="preserve"> </w:t>
      </w:r>
      <w:r w:rsidR="003501B1" w:rsidRPr="004A76D7">
        <w:rPr>
          <w:rFonts w:ascii="Rockwell" w:eastAsia="Times New Roman" w:hAnsi="Rockwell" w:cs="Times New Roman"/>
          <w:sz w:val="24"/>
          <w:szCs w:val="24"/>
        </w:rPr>
        <w:t xml:space="preserve">prior to the mining </w:t>
      </w:r>
      <w:r w:rsidRPr="004A76D7">
        <w:rPr>
          <w:rFonts w:ascii="Rockwell" w:eastAsia="Times New Roman" w:hAnsi="Rockwell" w:cs="Times New Roman"/>
          <w:sz w:val="24"/>
          <w:szCs w:val="24"/>
        </w:rPr>
        <w:t>operations.</w:t>
      </w:r>
    </w:p>
    <w:p w:rsidR="00472505" w:rsidRDefault="00472505" w:rsidP="00472505">
      <w:pPr>
        <w:spacing w:before="240" w:after="240"/>
        <w:ind w:left="360"/>
        <w:jc w:val="both"/>
        <w:rPr>
          <w:rFonts w:ascii="Rockwell" w:eastAsia="Times New Roman" w:hAnsi="Rockwell" w:cs="Times New Roman"/>
          <w:sz w:val="24"/>
          <w:szCs w:val="24"/>
        </w:rPr>
      </w:pPr>
      <w:r>
        <w:rPr>
          <w:rFonts w:ascii="Rockwell" w:eastAsia="Times New Roman" w:hAnsi="Rockwell" w:cs="Times New Roman"/>
          <w:sz w:val="24"/>
          <w:szCs w:val="24"/>
        </w:rPr>
        <w:t xml:space="preserve">(ii) </w:t>
      </w:r>
      <w:r w:rsidRPr="004A76D7">
        <w:rPr>
          <w:rFonts w:ascii="Rockwell" w:eastAsia="Times New Roman" w:hAnsi="Rockwell" w:cs="Times New Roman"/>
          <w:sz w:val="24"/>
          <w:szCs w:val="24"/>
        </w:rPr>
        <w:t xml:space="preserve">Sampling and analysis of the applicable parameters such as </w:t>
      </w:r>
      <w:proofErr w:type="spellStart"/>
      <w:r w:rsidRPr="004A76D7">
        <w:rPr>
          <w:rFonts w:ascii="Rockwell" w:eastAsia="Times New Roman" w:hAnsi="Rockwell" w:cs="Times New Roman"/>
          <w:sz w:val="24"/>
          <w:szCs w:val="24"/>
        </w:rPr>
        <w:t>SOx</w:t>
      </w:r>
      <w:proofErr w:type="spellEnd"/>
      <w:r w:rsidRPr="004A76D7">
        <w:rPr>
          <w:rFonts w:ascii="Rockwell" w:eastAsia="Times New Roman" w:hAnsi="Rockwell" w:cs="Times New Roman"/>
          <w:sz w:val="24"/>
          <w:szCs w:val="24"/>
        </w:rPr>
        <w:t xml:space="preserve">, </w:t>
      </w:r>
      <w:proofErr w:type="spellStart"/>
      <w:r w:rsidRPr="004A76D7">
        <w:rPr>
          <w:rFonts w:ascii="Rockwell" w:eastAsia="Times New Roman" w:hAnsi="Rockwell" w:cs="Times New Roman"/>
          <w:sz w:val="24"/>
          <w:szCs w:val="24"/>
        </w:rPr>
        <w:t>NO</w:t>
      </w:r>
      <w:r>
        <w:rPr>
          <w:rFonts w:ascii="Rockwell" w:eastAsia="Times New Roman" w:hAnsi="Rockwell" w:cs="Times New Roman"/>
          <w:sz w:val="24"/>
          <w:szCs w:val="24"/>
        </w:rPr>
        <w:t>x</w:t>
      </w:r>
      <w:proofErr w:type="spellEnd"/>
      <w:r w:rsidRPr="004A76D7">
        <w:rPr>
          <w:rFonts w:ascii="Rockwell" w:eastAsia="Times New Roman" w:hAnsi="Rockwell" w:cs="Times New Roman"/>
          <w:sz w:val="24"/>
          <w:szCs w:val="24"/>
        </w:rPr>
        <w:t xml:space="preserve">, heavy </w:t>
      </w:r>
      <w:r>
        <w:rPr>
          <w:rFonts w:ascii="Rockwell" w:eastAsia="Times New Roman" w:hAnsi="Rockwell" w:cs="Times New Roman"/>
          <w:sz w:val="24"/>
          <w:szCs w:val="24"/>
        </w:rPr>
        <w:t>metals, radioactivity, PM 10</w:t>
      </w:r>
      <w:r w:rsidRPr="004A76D7">
        <w:rPr>
          <w:rFonts w:ascii="Rockwell" w:eastAsia="Times New Roman" w:hAnsi="Rockwell" w:cs="Times New Roman"/>
          <w:sz w:val="24"/>
          <w:szCs w:val="24"/>
        </w:rPr>
        <w:t xml:space="preserve">, PM 2.5 should be </w:t>
      </w:r>
      <w:r>
        <w:rPr>
          <w:rFonts w:ascii="Rockwell" w:eastAsia="Times New Roman" w:hAnsi="Rockwell" w:cs="Times New Roman"/>
          <w:sz w:val="24"/>
          <w:szCs w:val="24"/>
        </w:rPr>
        <w:t>undertaken a</w:t>
      </w:r>
      <w:r w:rsidRPr="00472505">
        <w:rPr>
          <w:rFonts w:ascii="Rockwell" w:eastAsia="Times New Roman" w:hAnsi="Rockwell" w:cs="Times New Roman"/>
          <w:sz w:val="24"/>
          <w:szCs w:val="24"/>
        </w:rPr>
        <w:t xml:space="preserve">s prescribed </w:t>
      </w:r>
      <w:r>
        <w:rPr>
          <w:rFonts w:ascii="Rockwell" w:eastAsia="Times New Roman" w:hAnsi="Rockwell" w:cs="Times New Roman"/>
          <w:sz w:val="24"/>
          <w:szCs w:val="24"/>
        </w:rPr>
        <w:t xml:space="preserve">in the </w:t>
      </w:r>
      <w:r w:rsidRPr="00472505">
        <w:rPr>
          <w:rFonts w:ascii="Rockwell" w:eastAsia="Times New Roman" w:hAnsi="Rockwell" w:cs="Times New Roman"/>
          <w:sz w:val="24"/>
          <w:szCs w:val="24"/>
        </w:rPr>
        <w:t>Environmental Management and Coordination (</w:t>
      </w:r>
      <w:r>
        <w:rPr>
          <w:rFonts w:ascii="Rockwell" w:eastAsia="Times New Roman" w:hAnsi="Rockwell" w:cs="Times New Roman"/>
          <w:sz w:val="24"/>
          <w:szCs w:val="24"/>
        </w:rPr>
        <w:t>Air</w:t>
      </w:r>
      <w:r w:rsidRPr="00472505">
        <w:rPr>
          <w:rFonts w:ascii="Rockwell" w:eastAsia="Times New Roman" w:hAnsi="Rockwell" w:cs="Times New Roman"/>
          <w:sz w:val="24"/>
          <w:szCs w:val="24"/>
        </w:rPr>
        <w:t xml:space="preserve"> Quality) Regulations, 2024</w:t>
      </w:r>
      <w:r w:rsidRPr="004A76D7">
        <w:rPr>
          <w:rFonts w:ascii="Rockwell" w:eastAsia="Times New Roman" w:hAnsi="Rockwell" w:cs="Times New Roman"/>
          <w:sz w:val="24"/>
          <w:szCs w:val="24"/>
        </w:rPr>
        <w:t>.</w:t>
      </w:r>
    </w:p>
    <w:p w:rsidR="008E29E3" w:rsidRPr="004A76D7" w:rsidRDefault="00472505" w:rsidP="00472505">
      <w:pPr>
        <w:spacing w:before="240" w:after="240"/>
        <w:ind w:left="360"/>
        <w:jc w:val="both"/>
        <w:rPr>
          <w:rFonts w:ascii="Rockwell" w:eastAsia="Times New Roman" w:hAnsi="Rockwell" w:cs="Times New Roman"/>
          <w:sz w:val="24"/>
          <w:szCs w:val="24"/>
        </w:rPr>
      </w:pPr>
      <w:r>
        <w:rPr>
          <w:rFonts w:ascii="Rockwell" w:eastAsia="Times New Roman" w:hAnsi="Rockwell" w:cs="Times New Roman"/>
          <w:sz w:val="24"/>
          <w:szCs w:val="24"/>
        </w:rPr>
        <w:t>(i</w:t>
      </w:r>
      <w:r w:rsidR="00D125C9">
        <w:rPr>
          <w:rFonts w:ascii="Rockwell" w:eastAsia="Times New Roman" w:hAnsi="Rockwell" w:cs="Times New Roman"/>
          <w:sz w:val="24"/>
          <w:szCs w:val="24"/>
        </w:rPr>
        <w:t>ii</w:t>
      </w:r>
      <w:r w:rsidR="008E29E3" w:rsidRPr="00472505">
        <w:rPr>
          <w:rFonts w:ascii="Rockwell" w:eastAsia="Times New Roman" w:hAnsi="Rockwell" w:cs="Times New Roman"/>
          <w:sz w:val="24"/>
          <w:szCs w:val="24"/>
        </w:rPr>
        <w:t xml:space="preserve">). The corrective measures to be </w:t>
      </w:r>
      <w:r w:rsidRPr="00472505">
        <w:rPr>
          <w:rFonts w:ascii="Rockwell" w:eastAsia="Times New Roman" w:hAnsi="Rockwell" w:cs="Times New Roman"/>
          <w:sz w:val="24"/>
          <w:szCs w:val="24"/>
        </w:rPr>
        <w:t>under</w:t>
      </w:r>
      <w:r w:rsidR="008E29E3" w:rsidRPr="00472505">
        <w:rPr>
          <w:rFonts w:ascii="Rockwell" w:eastAsia="Times New Roman" w:hAnsi="Rockwell" w:cs="Times New Roman"/>
          <w:sz w:val="24"/>
          <w:szCs w:val="24"/>
        </w:rPr>
        <w:t xml:space="preserve">taken </w:t>
      </w:r>
      <w:r w:rsidR="00D125C9">
        <w:rPr>
          <w:rFonts w:ascii="Rockwell" w:eastAsia="Times New Roman" w:hAnsi="Rockwell" w:cs="Times New Roman"/>
          <w:sz w:val="24"/>
          <w:szCs w:val="24"/>
        </w:rPr>
        <w:t xml:space="preserve">(for both stack and fugitive emissions) </w:t>
      </w:r>
      <w:r>
        <w:rPr>
          <w:rFonts w:ascii="Rockwell" w:eastAsia="Times New Roman" w:hAnsi="Rockwell" w:cs="Times New Roman"/>
          <w:sz w:val="24"/>
          <w:szCs w:val="24"/>
        </w:rPr>
        <w:t>to achieve air quality standards a</w:t>
      </w:r>
      <w:r w:rsidRPr="00472505">
        <w:rPr>
          <w:rFonts w:ascii="Rockwell" w:eastAsia="Times New Roman" w:hAnsi="Rockwell" w:cs="Times New Roman"/>
          <w:sz w:val="24"/>
          <w:szCs w:val="24"/>
        </w:rPr>
        <w:t xml:space="preserve">s prescribed </w:t>
      </w:r>
      <w:r>
        <w:rPr>
          <w:rFonts w:ascii="Rockwell" w:eastAsia="Times New Roman" w:hAnsi="Rockwell" w:cs="Times New Roman"/>
          <w:sz w:val="24"/>
          <w:szCs w:val="24"/>
        </w:rPr>
        <w:t xml:space="preserve">in the </w:t>
      </w:r>
      <w:r w:rsidRPr="00472505">
        <w:rPr>
          <w:rFonts w:ascii="Rockwell" w:eastAsia="Times New Roman" w:hAnsi="Rockwell" w:cs="Times New Roman"/>
          <w:sz w:val="24"/>
          <w:szCs w:val="24"/>
        </w:rPr>
        <w:t>Environmental Management and Coordination (</w:t>
      </w:r>
      <w:r>
        <w:rPr>
          <w:rFonts w:ascii="Rockwell" w:eastAsia="Times New Roman" w:hAnsi="Rockwell" w:cs="Times New Roman"/>
          <w:sz w:val="24"/>
          <w:szCs w:val="24"/>
        </w:rPr>
        <w:t>Air</w:t>
      </w:r>
      <w:r w:rsidRPr="00472505">
        <w:rPr>
          <w:rFonts w:ascii="Rockwell" w:eastAsia="Times New Roman" w:hAnsi="Rockwell" w:cs="Times New Roman"/>
          <w:sz w:val="24"/>
          <w:szCs w:val="24"/>
        </w:rPr>
        <w:t xml:space="preserve"> Quality) Regulations, 2024</w:t>
      </w:r>
      <w:r>
        <w:rPr>
          <w:rFonts w:ascii="Rockwell" w:eastAsia="Times New Roman" w:hAnsi="Rockwell" w:cs="Times New Roman"/>
          <w:sz w:val="24"/>
          <w:szCs w:val="24"/>
        </w:rPr>
        <w:t xml:space="preserve"> should be described</w:t>
      </w:r>
      <w:r w:rsidRPr="00472505">
        <w:rPr>
          <w:rFonts w:ascii="Rockwell" w:eastAsia="Times New Roman" w:hAnsi="Rockwell" w:cs="Times New Roman"/>
          <w:sz w:val="24"/>
          <w:szCs w:val="24"/>
        </w:rPr>
        <w:t>.</w:t>
      </w:r>
    </w:p>
    <w:p w:rsidR="008E29E3" w:rsidRPr="004A76D7" w:rsidRDefault="00472505" w:rsidP="000E7DFC">
      <w:pPr>
        <w:spacing w:before="240" w:after="240"/>
        <w:ind w:left="360"/>
        <w:jc w:val="both"/>
        <w:rPr>
          <w:rFonts w:ascii="Rockwell" w:eastAsia="Times New Roman" w:hAnsi="Rockwell" w:cs="Times New Roman"/>
          <w:sz w:val="24"/>
          <w:szCs w:val="24"/>
        </w:rPr>
      </w:pPr>
      <w:proofErr w:type="gramStart"/>
      <w:r>
        <w:rPr>
          <w:rFonts w:ascii="Rockwell" w:eastAsia="Times New Roman" w:hAnsi="Rockwell" w:cs="Times New Roman"/>
          <w:sz w:val="24"/>
          <w:szCs w:val="24"/>
        </w:rPr>
        <w:lastRenderedPageBreak/>
        <w:t>(</w:t>
      </w:r>
      <w:r w:rsidR="00D125C9">
        <w:rPr>
          <w:rFonts w:ascii="Rockwell" w:eastAsia="Times New Roman" w:hAnsi="Rockwell" w:cs="Times New Roman"/>
          <w:sz w:val="24"/>
          <w:szCs w:val="24"/>
        </w:rPr>
        <w:t>i</w:t>
      </w:r>
      <w:r w:rsidR="008E29E3" w:rsidRPr="004A76D7">
        <w:rPr>
          <w:rFonts w:ascii="Rockwell" w:eastAsia="Times New Roman" w:hAnsi="Rockwell" w:cs="Times New Roman"/>
          <w:sz w:val="24"/>
          <w:szCs w:val="24"/>
        </w:rPr>
        <w:t>v)</w:t>
      </w:r>
      <w:proofErr w:type="gramEnd"/>
      <w:r w:rsidR="008E29E3" w:rsidRPr="004A76D7">
        <w:rPr>
          <w:rFonts w:ascii="Rockwell" w:eastAsia="Times New Roman" w:hAnsi="Rockwell" w:cs="Times New Roman"/>
          <w:sz w:val="24"/>
          <w:szCs w:val="24"/>
        </w:rPr>
        <w:t>. Particular consideration should be given to tailing</w:t>
      </w:r>
      <w:r w:rsidR="003501B1" w:rsidRPr="004A76D7">
        <w:rPr>
          <w:rFonts w:ascii="Rockwell" w:eastAsia="Times New Roman" w:hAnsi="Rockwell" w:cs="Times New Roman"/>
          <w:sz w:val="24"/>
          <w:szCs w:val="24"/>
        </w:rPr>
        <w:t xml:space="preserve">s storage facilities or similar </w:t>
      </w:r>
      <w:r w:rsidR="008E29E3" w:rsidRPr="004A76D7">
        <w:rPr>
          <w:rFonts w:ascii="Rockwell" w:eastAsia="Times New Roman" w:hAnsi="Rockwell" w:cs="Times New Roman"/>
          <w:sz w:val="24"/>
          <w:szCs w:val="24"/>
        </w:rPr>
        <w:t>where</w:t>
      </w:r>
      <w:r w:rsidR="00AD5D8B" w:rsidRPr="004A76D7">
        <w:rPr>
          <w:rFonts w:ascii="Rockwell" w:eastAsia="Times New Roman" w:hAnsi="Rockwell" w:cs="Times New Roman"/>
          <w:sz w:val="24"/>
          <w:szCs w:val="24"/>
        </w:rPr>
        <w:t xml:space="preserve"> </w:t>
      </w:r>
      <w:r w:rsidR="008E29E3" w:rsidRPr="004A76D7">
        <w:rPr>
          <w:rFonts w:ascii="Rockwell" w:eastAsia="Times New Roman" w:hAnsi="Rockwell" w:cs="Times New Roman"/>
          <w:sz w:val="24"/>
          <w:szCs w:val="24"/>
        </w:rPr>
        <w:t>mine waste can be removed and transported by wind.</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(v). Analysis should be done to establish the</w:t>
      </w:r>
      <w:r w:rsidR="003501B1" w:rsidRPr="004A76D7">
        <w:rPr>
          <w:rFonts w:ascii="Rockwell" w:eastAsia="Times New Roman" w:hAnsi="Rockwell" w:cs="Times New Roman"/>
          <w:sz w:val="24"/>
          <w:szCs w:val="24"/>
        </w:rPr>
        <w:t xml:space="preserve"> presence of Fibrous (including </w:t>
      </w:r>
      <w:proofErr w:type="spellStart"/>
      <w:r w:rsidRPr="004A76D7">
        <w:rPr>
          <w:rFonts w:ascii="Rockwell" w:eastAsia="Times New Roman" w:hAnsi="Rockwell" w:cs="Times New Roman"/>
          <w:sz w:val="24"/>
          <w:szCs w:val="24"/>
        </w:rPr>
        <w:t>asbestiform</w:t>
      </w:r>
      <w:proofErr w:type="spellEnd"/>
      <w:r w:rsidRPr="004A76D7">
        <w:rPr>
          <w:rFonts w:ascii="Rockwell" w:eastAsia="Times New Roman" w:hAnsi="Rockwell" w:cs="Times New Roman"/>
          <w:sz w:val="24"/>
          <w:szCs w:val="24"/>
        </w:rPr>
        <w:t>)</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materials and the safety and mana</w:t>
      </w:r>
      <w:r w:rsidR="003501B1" w:rsidRPr="004A76D7">
        <w:rPr>
          <w:rFonts w:ascii="Rockwell" w:eastAsia="Times New Roman" w:hAnsi="Rockwell" w:cs="Times New Roman"/>
          <w:sz w:val="24"/>
          <w:szCs w:val="24"/>
        </w:rPr>
        <w:t xml:space="preserve">gement measures put in place to </w:t>
      </w:r>
      <w:r w:rsidRPr="004A76D7">
        <w:rPr>
          <w:rFonts w:ascii="Rockwell" w:eastAsia="Times New Roman" w:hAnsi="Rockwell" w:cs="Times New Roman"/>
          <w:sz w:val="24"/>
          <w:szCs w:val="24"/>
        </w:rPr>
        <w:t>address the</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same.</w:t>
      </w:r>
    </w:p>
    <w:p w:rsidR="00472505" w:rsidRDefault="00472505" w:rsidP="00D125C9">
      <w:pPr>
        <w:spacing w:before="240" w:after="240"/>
        <w:jc w:val="both"/>
        <w:rPr>
          <w:rFonts w:ascii="Rockwell" w:eastAsia="Times New Roman" w:hAnsi="Rockwell" w:cs="Times New Roman"/>
          <w:sz w:val="24"/>
          <w:szCs w:val="24"/>
        </w:rPr>
      </w:pPr>
    </w:p>
    <w:p w:rsidR="008E29E3" w:rsidRPr="004A76D7" w:rsidRDefault="002F3767" w:rsidP="002F3767">
      <w:pPr>
        <w:pStyle w:val="Heading3"/>
        <w:jc w:val="both"/>
        <w:rPr>
          <w:rFonts w:ascii="Rockwell" w:eastAsia="Times New Roman" w:hAnsi="Rockwell" w:cs="Times New Roman"/>
          <w:b/>
          <w:sz w:val="24"/>
          <w:szCs w:val="24"/>
        </w:rPr>
      </w:pPr>
      <w:bookmarkStart w:id="36" w:name="_Toc209047123"/>
      <w:proofErr w:type="gramStart"/>
      <w:r>
        <w:rPr>
          <w:rFonts w:ascii="Rockwell" w:eastAsia="Times New Roman" w:hAnsi="Rockwell" w:cs="Times New Roman"/>
          <w:b/>
          <w:sz w:val="24"/>
          <w:szCs w:val="24"/>
        </w:rPr>
        <w:t>c)</w:t>
      </w:r>
      <w:r w:rsidR="008E29E3" w:rsidRPr="004A76D7">
        <w:rPr>
          <w:rFonts w:ascii="Rockwell" w:eastAsia="Times New Roman" w:hAnsi="Rockwell" w:cs="Times New Roman"/>
          <w:b/>
          <w:sz w:val="24"/>
          <w:szCs w:val="24"/>
        </w:rPr>
        <w:t>Waste</w:t>
      </w:r>
      <w:proofErr w:type="gramEnd"/>
      <w:r w:rsidR="008E29E3" w:rsidRPr="004A76D7">
        <w:rPr>
          <w:rFonts w:ascii="Rockwell" w:eastAsia="Times New Roman" w:hAnsi="Rockwell" w:cs="Times New Roman"/>
          <w:b/>
          <w:sz w:val="24"/>
          <w:szCs w:val="24"/>
        </w:rPr>
        <w:t xml:space="preserve"> Management:</w:t>
      </w:r>
      <w:bookmarkEnd w:id="36"/>
    </w:p>
    <w:p w:rsidR="008E29E3" w:rsidRPr="004A76D7" w:rsidRDefault="008E29E3" w:rsidP="000E7DFC">
      <w:pPr>
        <w:pStyle w:val="ListParagraph"/>
        <w:numPr>
          <w:ilvl w:val="0"/>
          <w:numId w:val="6"/>
        </w:num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Describe the type, quality and quantity of overburden, waste rock, tailings, mine</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water, mineral rejects available and their disposal practice.</w:t>
      </w:r>
    </w:p>
    <w:p w:rsidR="00AD5D8B" w:rsidRPr="004A76D7" w:rsidRDefault="008E29E3" w:rsidP="000E7DFC">
      <w:pPr>
        <w:pStyle w:val="ListParagraph"/>
        <w:numPr>
          <w:ilvl w:val="0"/>
          <w:numId w:val="6"/>
        </w:num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If no utilization of waste material is proposed, the manner in which the waste</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material will be stabilized should be described.</w:t>
      </w:r>
    </w:p>
    <w:p w:rsidR="00AD5D8B" w:rsidRPr="004A76D7" w:rsidRDefault="008E29E3" w:rsidP="000E7DFC">
      <w:pPr>
        <w:pStyle w:val="ListParagraph"/>
        <w:numPr>
          <w:ilvl w:val="0"/>
          <w:numId w:val="6"/>
        </w:num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The protective measures to be taken for prevention of siltation, erosion and dust</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generation from these waste materials should also be described.</w:t>
      </w:r>
    </w:p>
    <w:p w:rsidR="008E29E3" w:rsidRPr="004A76D7" w:rsidRDefault="008E29E3" w:rsidP="000E7DFC">
      <w:pPr>
        <w:pStyle w:val="ListParagraph"/>
        <w:numPr>
          <w:ilvl w:val="0"/>
          <w:numId w:val="6"/>
        </w:num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If toxic and hazardous elements are present in the waste material, the protective</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measures to be taken for prevention of their dispersal in the air environment,</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leaching in surface and groundwater, in soils and sediments should be described.</w:t>
      </w:r>
    </w:p>
    <w:p w:rsidR="00AD5D8B" w:rsidRPr="004A76D7" w:rsidRDefault="008E29E3" w:rsidP="000E7DFC">
      <w:pPr>
        <w:pStyle w:val="ListParagraph"/>
        <w:numPr>
          <w:ilvl w:val="0"/>
          <w:numId w:val="6"/>
        </w:num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Sampling and analysis of the applicable parameters should be considered</w:t>
      </w:r>
      <w:r w:rsidR="00D125C9">
        <w:rPr>
          <w:rFonts w:ascii="Rockwell" w:eastAsia="Times New Roman" w:hAnsi="Rockwell" w:cs="Times New Roman"/>
          <w:sz w:val="24"/>
          <w:szCs w:val="24"/>
        </w:rPr>
        <w:t xml:space="preserve"> as prescribed in </w:t>
      </w:r>
      <w:r w:rsidR="00D125C9" w:rsidRPr="004A76D7">
        <w:rPr>
          <w:rFonts w:ascii="Rockwell" w:eastAsia="Times New Roman" w:hAnsi="Rockwell" w:cs="Times New Roman"/>
          <w:sz w:val="24"/>
          <w:szCs w:val="24"/>
        </w:rPr>
        <w:t xml:space="preserve">the Environmental Management and Coordination (Waste Management) Regulations, </w:t>
      </w:r>
      <w:r w:rsidR="00D125C9">
        <w:rPr>
          <w:rFonts w:ascii="Rockwell" w:eastAsia="Times New Roman" w:hAnsi="Rockwell" w:cs="Times New Roman"/>
          <w:sz w:val="24"/>
          <w:szCs w:val="24"/>
        </w:rPr>
        <w:t>2024</w:t>
      </w:r>
      <w:r w:rsidRPr="004A76D7">
        <w:rPr>
          <w:rFonts w:ascii="Rockwell" w:eastAsia="Times New Roman" w:hAnsi="Rockwell" w:cs="Times New Roman"/>
          <w:sz w:val="24"/>
          <w:szCs w:val="24"/>
        </w:rPr>
        <w:t>.</w:t>
      </w:r>
    </w:p>
    <w:p w:rsidR="008E29E3" w:rsidRDefault="008E29E3" w:rsidP="000E7DFC">
      <w:pPr>
        <w:pStyle w:val="ListParagraph"/>
        <w:numPr>
          <w:ilvl w:val="0"/>
          <w:numId w:val="6"/>
        </w:num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Measures to be put in place to provide for the safe </w:t>
      </w:r>
      <w:r w:rsidR="00D125C9">
        <w:rPr>
          <w:rFonts w:ascii="Rockwell" w:eastAsia="Times New Roman" w:hAnsi="Rockwell" w:cs="Times New Roman"/>
          <w:sz w:val="24"/>
          <w:szCs w:val="24"/>
        </w:rPr>
        <w:t xml:space="preserve">temporary storage and </w:t>
      </w:r>
      <w:r w:rsidRPr="004A76D7">
        <w:rPr>
          <w:rFonts w:ascii="Rockwell" w:eastAsia="Times New Roman" w:hAnsi="Rockwell" w:cs="Times New Roman"/>
          <w:sz w:val="24"/>
          <w:szCs w:val="24"/>
        </w:rPr>
        <w:t xml:space="preserve">transportation of tailings for </w:t>
      </w:r>
      <w:r w:rsidR="00D125C9">
        <w:rPr>
          <w:rFonts w:ascii="Rockwell" w:eastAsia="Times New Roman" w:hAnsi="Rockwell" w:cs="Times New Roman"/>
          <w:sz w:val="24"/>
          <w:szCs w:val="24"/>
        </w:rPr>
        <w:t>re</w:t>
      </w:r>
      <w:r w:rsidRPr="004A76D7">
        <w:rPr>
          <w:rFonts w:ascii="Rockwell" w:eastAsia="Times New Roman" w:hAnsi="Rockwell" w:cs="Times New Roman"/>
          <w:sz w:val="24"/>
          <w:szCs w:val="24"/>
        </w:rPr>
        <w:t>processing or disposal as guided by the Environmental Management and</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Coordination (Waste Management) Regulations,</w:t>
      </w:r>
      <w:r w:rsidR="00AD5D8B" w:rsidRPr="004A76D7">
        <w:rPr>
          <w:rFonts w:ascii="Rockwell" w:eastAsia="Times New Roman" w:hAnsi="Rockwell" w:cs="Times New Roman"/>
          <w:sz w:val="24"/>
          <w:szCs w:val="24"/>
        </w:rPr>
        <w:t xml:space="preserve"> </w:t>
      </w:r>
      <w:r w:rsidR="00D125C9">
        <w:rPr>
          <w:rFonts w:ascii="Rockwell" w:eastAsia="Times New Roman" w:hAnsi="Rockwell" w:cs="Times New Roman"/>
          <w:sz w:val="24"/>
          <w:szCs w:val="24"/>
        </w:rPr>
        <w:t>2024</w:t>
      </w:r>
      <w:r w:rsidRPr="004A76D7">
        <w:rPr>
          <w:rFonts w:ascii="Rockwell" w:eastAsia="Times New Roman" w:hAnsi="Rockwell" w:cs="Times New Roman"/>
          <w:sz w:val="24"/>
          <w:szCs w:val="24"/>
        </w:rPr>
        <w:t>.</w:t>
      </w:r>
    </w:p>
    <w:p w:rsidR="00767FB2" w:rsidRPr="00B83909" w:rsidRDefault="00767FB2" w:rsidP="00767FB2">
      <w:pPr>
        <w:pStyle w:val="ListParagraph"/>
        <w:numPr>
          <w:ilvl w:val="0"/>
          <w:numId w:val="6"/>
        </w:numPr>
        <w:spacing w:before="100" w:beforeAutospacing="1" w:after="100" w:afterAutospacing="1" w:line="256" w:lineRule="auto"/>
        <w:jc w:val="both"/>
        <w:rPr>
          <w:rFonts w:ascii="Rockwell" w:hAnsi="Rockwell"/>
          <w:b/>
          <w:bCs/>
          <w:sz w:val="24"/>
          <w:szCs w:val="24"/>
          <w:highlight w:val="yellow"/>
        </w:rPr>
      </w:pPr>
      <w:r w:rsidRPr="00B83909">
        <w:rPr>
          <w:rFonts w:ascii="Rockwell" w:hAnsi="Rockwell"/>
          <w:b/>
          <w:bCs/>
          <w:sz w:val="24"/>
          <w:szCs w:val="24"/>
          <w:highlight w:val="yellow"/>
        </w:rPr>
        <w:t xml:space="preserve">Waste and Residue Management </w:t>
      </w:r>
      <w:r w:rsidRPr="00B83909">
        <w:rPr>
          <w:rFonts w:ascii="Rockwell" w:hAnsi="Rockwell"/>
          <w:bCs/>
          <w:sz w:val="24"/>
          <w:szCs w:val="24"/>
          <w:highlight w:val="yellow"/>
        </w:rPr>
        <w:t>- The operator will ensure that chemical waste (hazardous vs. non-hazardous) are properly classified and use approved disposal methods (e.g. licensed treatment, incineration, or secure landfilling) in line with Environmental Management and Coordination (Waste Management</w:t>
      </w:r>
      <w:r>
        <w:rPr>
          <w:rFonts w:ascii="Rockwell" w:hAnsi="Rockwell"/>
          <w:bCs/>
          <w:sz w:val="24"/>
          <w:szCs w:val="24"/>
          <w:highlight w:val="yellow"/>
        </w:rPr>
        <w:t>)</w:t>
      </w:r>
      <w:r w:rsidRPr="00B83909">
        <w:rPr>
          <w:rFonts w:ascii="Rockwell" w:hAnsi="Rockwell"/>
          <w:bCs/>
          <w:sz w:val="24"/>
          <w:szCs w:val="24"/>
          <w:highlight w:val="yellow"/>
        </w:rPr>
        <w:t xml:space="preserve"> Regulations, 2024. The operator must avoid co-disposal of chemicals and general waste and prevent seepage of chemicals into tailings by using lined containment systems.</w:t>
      </w:r>
    </w:p>
    <w:p w:rsidR="00767FB2" w:rsidRPr="004A76D7" w:rsidRDefault="00767FB2" w:rsidP="00767FB2">
      <w:pPr>
        <w:pStyle w:val="ListParagraph"/>
        <w:spacing w:before="240" w:after="240"/>
        <w:ind w:left="1080"/>
        <w:jc w:val="both"/>
        <w:rPr>
          <w:rFonts w:ascii="Rockwell" w:eastAsia="Times New Roman" w:hAnsi="Rockwell" w:cs="Times New Roman"/>
          <w:sz w:val="24"/>
          <w:szCs w:val="24"/>
        </w:rPr>
      </w:pPr>
    </w:p>
    <w:p w:rsidR="008E29E3" w:rsidRPr="004A76D7" w:rsidRDefault="008E29E3" w:rsidP="000E7DFC">
      <w:pPr>
        <w:pStyle w:val="Heading3"/>
        <w:jc w:val="both"/>
        <w:rPr>
          <w:rFonts w:ascii="Rockwell" w:eastAsia="Times New Roman" w:hAnsi="Rockwell" w:cs="Times New Roman"/>
          <w:b/>
          <w:sz w:val="24"/>
          <w:szCs w:val="24"/>
        </w:rPr>
      </w:pPr>
      <w:r w:rsidRPr="004A76D7">
        <w:rPr>
          <w:rFonts w:ascii="Rockwell" w:eastAsia="Times New Roman" w:hAnsi="Rockwell" w:cs="Times New Roman"/>
          <w:sz w:val="24"/>
          <w:szCs w:val="24"/>
        </w:rPr>
        <w:t xml:space="preserve"> </w:t>
      </w:r>
      <w:bookmarkStart w:id="37" w:name="_Toc209047124"/>
      <w:r w:rsidR="00751168">
        <w:rPr>
          <w:rFonts w:ascii="Rockwell" w:eastAsia="Times New Roman" w:hAnsi="Rockwell" w:cs="Times New Roman"/>
          <w:b/>
          <w:sz w:val="24"/>
          <w:szCs w:val="24"/>
        </w:rPr>
        <w:t xml:space="preserve">d) </w:t>
      </w:r>
      <w:r w:rsidRPr="004A76D7">
        <w:rPr>
          <w:rFonts w:ascii="Rockwell" w:eastAsia="Times New Roman" w:hAnsi="Rockwell" w:cs="Times New Roman"/>
          <w:b/>
          <w:sz w:val="24"/>
          <w:szCs w:val="24"/>
        </w:rPr>
        <w:t>Soil Quality:</w:t>
      </w:r>
      <w:bookmarkEnd w:id="37"/>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w:t>
      </w:r>
      <w:proofErr w:type="spellStart"/>
      <w:r w:rsidRPr="004A76D7">
        <w:rPr>
          <w:rFonts w:ascii="Rockwell" w:eastAsia="Times New Roman" w:hAnsi="Rockwell" w:cs="Times New Roman"/>
          <w:sz w:val="24"/>
          <w:szCs w:val="24"/>
        </w:rPr>
        <w:t>i</w:t>
      </w:r>
      <w:proofErr w:type="spellEnd"/>
      <w:r w:rsidRPr="004A76D7">
        <w:rPr>
          <w:rFonts w:ascii="Rockwell" w:eastAsia="Times New Roman" w:hAnsi="Rockwell" w:cs="Times New Roman"/>
          <w:sz w:val="24"/>
          <w:szCs w:val="24"/>
        </w:rPr>
        <w:t>). Reference should be made to the baseline soil quality status prior to the</w:t>
      </w:r>
      <w:r w:rsidR="003501B1" w:rsidRPr="004A76D7">
        <w:rPr>
          <w:rFonts w:ascii="Rockwell" w:eastAsia="Times New Roman" w:hAnsi="Rockwell" w:cs="Times New Roman"/>
          <w:sz w:val="24"/>
          <w:szCs w:val="24"/>
        </w:rPr>
        <w:t xml:space="preserve"> mining </w:t>
      </w:r>
      <w:r w:rsidRPr="004A76D7">
        <w:rPr>
          <w:rFonts w:ascii="Rockwell" w:eastAsia="Times New Roman" w:hAnsi="Rockwell" w:cs="Times New Roman"/>
          <w:sz w:val="24"/>
          <w:szCs w:val="24"/>
        </w:rPr>
        <w:t>operations.</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(ii).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top soil, the overburden and the waste rock available at the site and their</w:t>
      </w:r>
      <w:r w:rsidR="003501B1"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recovery, storage as well as their utilization should be described.</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lastRenderedPageBreak/>
        <w:t>(iii). In-situ and ex-situ treatment to remove the contaminants or reduce the associated</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hazards to acceptable level should be discussed</w:t>
      </w:r>
      <w:r w:rsidR="007169A8">
        <w:rPr>
          <w:rFonts w:ascii="Rockwell" w:eastAsia="Times New Roman" w:hAnsi="Rockwell" w:cs="Times New Roman"/>
          <w:sz w:val="24"/>
          <w:szCs w:val="24"/>
        </w:rPr>
        <w:t xml:space="preserve"> based on the best international recognized standards</w:t>
      </w:r>
      <w:r w:rsidRPr="004A76D7">
        <w:rPr>
          <w:rFonts w:ascii="Rockwell" w:eastAsia="Times New Roman" w:hAnsi="Rockwell" w:cs="Times New Roman"/>
          <w:sz w:val="24"/>
          <w:szCs w:val="24"/>
        </w:rPr>
        <w:t>.</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(iv). Radioactivity - Analysis should be done to establish the presence of Naturally</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Occurring Radioactive Materials (NORMs) and the safety and management</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measures put in place to address the same.</w:t>
      </w:r>
    </w:p>
    <w:p w:rsidR="008E29E3"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(v). Sampling and analysis of the other applicable parameters such as heavy metals,</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PH, total hardness, calcium hardness, magnesium hardness, chlorides, sulfates and</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total dissolved solids, grease, TPH, BTEX, should be considered among others.</w:t>
      </w:r>
    </w:p>
    <w:p w:rsidR="00325A9B" w:rsidRDefault="007169A8" w:rsidP="00325A9B">
      <w:pPr>
        <w:pStyle w:val="Heading3"/>
        <w:jc w:val="both"/>
        <w:rPr>
          <w:rFonts w:ascii="Rockwell" w:hAnsi="Rockwell"/>
          <w:b/>
          <w:bCs/>
          <w:sz w:val="24"/>
          <w:szCs w:val="24"/>
        </w:rPr>
      </w:pPr>
      <w:bookmarkStart w:id="38" w:name="_Toc209047125"/>
      <w:r w:rsidRPr="00254997">
        <w:rPr>
          <w:rFonts w:ascii="Rockwell" w:eastAsia="Times New Roman" w:hAnsi="Rockwell" w:cs="Times New Roman"/>
          <w:b/>
          <w:sz w:val="24"/>
          <w:szCs w:val="24"/>
          <w:highlight w:val="yellow"/>
        </w:rPr>
        <w:t xml:space="preserve">e) </w:t>
      </w:r>
      <w:r w:rsidR="00325A9B" w:rsidRPr="00254997">
        <w:rPr>
          <w:rFonts w:ascii="Rockwell" w:hAnsi="Rockwell"/>
          <w:b/>
          <w:bCs/>
          <w:sz w:val="24"/>
          <w:szCs w:val="24"/>
          <w:highlight w:val="yellow"/>
        </w:rPr>
        <w:t>Chemicals Management in Mining Operations</w:t>
      </w:r>
      <w:bookmarkEnd w:id="38"/>
    </w:p>
    <w:p w:rsidR="003E32E0" w:rsidRPr="00976C74" w:rsidRDefault="003E32E0" w:rsidP="003E32E0">
      <w:pPr>
        <w:jc w:val="both"/>
        <w:rPr>
          <w:rFonts w:ascii="Rockwell" w:hAnsi="Rockwell"/>
          <w:sz w:val="24"/>
          <w:szCs w:val="24"/>
          <w:highlight w:val="yellow"/>
        </w:rPr>
      </w:pPr>
      <w:r w:rsidRPr="00976C74">
        <w:rPr>
          <w:rFonts w:ascii="Rockwell" w:hAnsi="Rockwell"/>
          <w:sz w:val="24"/>
          <w:szCs w:val="24"/>
          <w:highlight w:val="yellow"/>
        </w:rPr>
        <w:t xml:space="preserve">The use of chemicals in mining offers several important benefits that enhance the efficiency, effectiveness, and profitability of mineral extraction and processing. Chemicals such as cyanide, sulfuric acid, and flotation reagents are used to separate valuable minerals from ore, which allows for higher recovery rates and better-quality products. </w:t>
      </w:r>
    </w:p>
    <w:p w:rsidR="003E32E0" w:rsidRPr="00976C74" w:rsidRDefault="003E32E0" w:rsidP="003E32E0">
      <w:pPr>
        <w:jc w:val="both"/>
        <w:rPr>
          <w:rFonts w:ascii="Rockwell" w:hAnsi="Rockwell"/>
          <w:sz w:val="24"/>
          <w:szCs w:val="24"/>
          <w:highlight w:val="yellow"/>
        </w:rPr>
      </w:pPr>
    </w:p>
    <w:p w:rsidR="00156FEA" w:rsidRPr="003E32E0" w:rsidRDefault="003E32E0" w:rsidP="003E32E0">
      <w:pPr>
        <w:jc w:val="both"/>
        <w:rPr>
          <w:rFonts w:ascii="Rockwell" w:hAnsi="Rockwell"/>
          <w:sz w:val="24"/>
          <w:szCs w:val="24"/>
        </w:rPr>
      </w:pPr>
      <w:r w:rsidRPr="00976C74">
        <w:rPr>
          <w:rFonts w:ascii="Rockwell" w:hAnsi="Rockwell"/>
          <w:sz w:val="24"/>
          <w:szCs w:val="24"/>
          <w:highlight w:val="yellow"/>
        </w:rPr>
        <w:t>However, poor management of these chemicals can lead to severe environmental contamination, health hazards for workers and the public, and costly regulatory violations. Mining operations often involve the use of hazardous substances like cyanide, sulfuric acid, and heavy metals, which, if mismanaged, can pollute soil, water, and air, harming local ecosystems and communities. Effective chemical management ensures safe practices that minimize risks, enhance operational efficiency, and support compliance with environmental and occupational safety regulations. It also promotes sustainable mining by reducing the long-term impacts of chemical use on both public health and the environment.</w:t>
      </w:r>
    </w:p>
    <w:p w:rsidR="00254997" w:rsidRPr="00156FEA" w:rsidRDefault="00325A9B" w:rsidP="00254997">
      <w:pPr>
        <w:pStyle w:val="ListParagraph"/>
        <w:numPr>
          <w:ilvl w:val="0"/>
          <w:numId w:val="36"/>
        </w:numPr>
        <w:spacing w:before="100" w:beforeAutospacing="1" w:after="100" w:afterAutospacing="1" w:line="256" w:lineRule="auto"/>
        <w:ind w:left="709" w:hanging="283"/>
        <w:jc w:val="both"/>
        <w:rPr>
          <w:rFonts w:ascii="Rockwell" w:eastAsia="Times New Roman" w:hAnsi="Rockwell" w:cs="Times New Roman"/>
          <w:sz w:val="24"/>
          <w:szCs w:val="24"/>
        </w:rPr>
      </w:pPr>
      <w:r w:rsidRPr="00156FEA">
        <w:rPr>
          <w:rFonts w:ascii="Rockwell" w:eastAsia="Times New Roman" w:hAnsi="Rockwell" w:cs="Times New Roman"/>
          <w:b/>
          <w:sz w:val="24"/>
          <w:szCs w:val="24"/>
        </w:rPr>
        <w:t>Chemical Inventory &amp; Risk Assessment</w:t>
      </w:r>
      <w:r w:rsidR="00254997" w:rsidRPr="00156FEA">
        <w:rPr>
          <w:rFonts w:ascii="Rockwell" w:eastAsia="Times New Roman" w:hAnsi="Rockwell" w:cs="Times New Roman"/>
          <w:sz w:val="24"/>
          <w:szCs w:val="24"/>
        </w:rPr>
        <w:t xml:space="preserve"> - </w:t>
      </w:r>
      <w:r w:rsidRPr="00156FEA">
        <w:rPr>
          <w:rFonts w:ascii="Rockwell" w:eastAsia="Times New Roman" w:hAnsi="Rockwell" w:cs="Times New Roman"/>
          <w:sz w:val="24"/>
          <w:szCs w:val="24"/>
        </w:rPr>
        <w:t xml:space="preserve">The operator should understand what chemicals are present, where they are, and what risks they pose. This includes maintenance </w:t>
      </w:r>
      <w:r w:rsidR="00D820AA" w:rsidRPr="00156FEA">
        <w:rPr>
          <w:rFonts w:ascii="Rockwell" w:eastAsia="Times New Roman" w:hAnsi="Rockwell" w:cs="Times New Roman"/>
          <w:sz w:val="24"/>
          <w:szCs w:val="24"/>
        </w:rPr>
        <w:t xml:space="preserve">of </w:t>
      </w:r>
      <w:r w:rsidRPr="00156FEA">
        <w:rPr>
          <w:rFonts w:ascii="Rockwell" w:eastAsia="Times New Roman" w:hAnsi="Rockwell" w:cs="Times New Roman"/>
          <w:sz w:val="24"/>
          <w:szCs w:val="24"/>
        </w:rPr>
        <w:t xml:space="preserve">a detailed chemical inventory including </w:t>
      </w:r>
      <w:r w:rsidR="00D820AA" w:rsidRPr="00156FEA">
        <w:rPr>
          <w:rFonts w:ascii="Rockwell" w:eastAsia="Times New Roman" w:hAnsi="Rockwell" w:cs="Times New Roman"/>
          <w:sz w:val="24"/>
          <w:szCs w:val="24"/>
        </w:rPr>
        <w:t xml:space="preserve">Material </w:t>
      </w:r>
      <w:r w:rsidRPr="00156FEA">
        <w:rPr>
          <w:rFonts w:ascii="Rockwell" w:eastAsia="Times New Roman" w:hAnsi="Rockwell" w:cs="Times New Roman"/>
          <w:sz w:val="24"/>
          <w:szCs w:val="24"/>
        </w:rPr>
        <w:t>Safety Data Sheets for all substances used and risk assessments for each chemical based on toxicity, volume used/stored and potential for exposure (spills, air/water pathways) All chemicals must be categorized by hazard class (flammable, corrosive, toxic, reactive, etc.).</w:t>
      </w:r>
    </w:p>
    <w:p w:rsidR="00254997" w:rsidRPr="00B83909" w:rsidRDefault="00254997" w:rsidP="00254997">
      <w:pPr>
        <w:pStyle w:val="ListParagraph"/>
        <w:spacing w:before="100" w:beforeAutospacing="1" w:after="100" w:afterAutospacing="1" w:line="256" w:lineRule="auto"/>
        <w:ind w:left="709"/>
        <w:rPr>
          <w:rFonts w:ascii="Rockwell" w:eastAsia="Times New Roman" w:hAnsi="Rockwell" w:cs="Times New Roman"/>
          <w:sz w:val="24"/>
          <w:szCs w:val="24"/>
          <w:highlight w:val="yellow"/>
        </w:rPr>
      </w:pPr>
    </w:p>
    <w:p w:rsidR="00325A9B" w:rsidRPr="00156FEA" w:rsidRDefault="00325A9B" w:rsidP="00254997">
      <w:pPr>
        <w:pStyle w:val="ListParagraph"/>
        <w:numPr>
          <w:ilvl w:val="0"/>
          <w:numId w:val="36"/>
        </w:numPr>
        <w:spacing w:before="100" w:beforeAutospacing="1" w:after="100" w:afterAutospacing="1" w:line="256" w:lineRule="auto"/>
        <w:ind w:left="709" w:hanging="283"/>
        <w:jc w:val="both"/>
        <w:rPr>
          <w:rFonts w:ascii="Rockwell" w:eastAsia="Times New Roman" w:hAnsi="Rockwell" w:cs="Times New Roman"/>
          <w:sz w:val="24"/>
          <w:szCs w:val="24"/>
        </w:rPr>
      </w:pPr>
      <w:r w:rsidRPr="00156FEA">
        <w:rPr>
          <w:rFonts w:ascii="Rockwell" w:hAnsi="Rockwell"/>
          <w:b/>
          <w:bCs/>
          <w:sz w:val="24"/>
          <w:szCs w:val="24"/>
        </w:rPr>
        <w:t>Safe Storage &amp; Handling</w:t>
      </w:r>
    </w:p>
    <w:p w:rsidR="00325A9B" w:rsidRPr="00156FEA" w:rsidRDefault="00325A9B" w:rsidP="00254997">
      <w:pPr>
        <w:spacing w:after="100" w:afterAutospacing="1"/>
        <w:jc w:val="both"/>
        <w:rPr>
          <w:rFonts w:ascii="Rockwell" w:hAnsi="Rockwell"/>
          <w:bCs/>
          <w:sz w:val="24"/>
          <w:szCs w:val="24"/>
        </w:rPr>
      </w:pPr>
      <w:r w:rsidRPr="00156FEA">
        <w:rPr>
          <w:rFonts w:ascii="Rockwell" w:hAnsi="Rockwell"/>
          <w:bCs/>
          <w:sz w:val="24"/>
          <w:szCs w:val="24"/>
        </w:rPr>
        <w:t>The operator must:</w:t>
      </w:r>
    </w:p>
    <w:p w:rsidR="00325A9B" w:rsidRPr="00156FEA" w:rsidRDefault="00325A9B" w:rsidP="00254997">
      <w:pPr>
        <w:pStyle w:val="ListParagraph"/>
        <w:numPr>
          <w:ilvl w:val="0"/>
          <w:numId w:val="33"/>
        </w:numPr>
        <w:spacing w:before="100" w:beforeAutospacing="1" w:after="100" w:afterAutospacing="1" w:line="256" w:lineRule="auto"/>
        <w:jc w:val="both"/>
        <w:rPr>
          <w:rFonts w:ascii="Rockwell" w:hAnsi="Rockwell"/>
          <w:sz w:val="24"/>
          <w:szCs w:val="24"/>
        </w:rPr>
      </w:pPr>
      <w:proofErr w:type="gramStart"/>
      <w:r w:rsidRPr="00156FEA">
        <w:rPr>
          <w:rFonts w:ascii="Rockwell" w:hAnsi="Rockwell"/>
          <w:bCs/>
          <w:sz w:val="24"/>
          <w:szCs w:val="24"/>
        </w:rPr>
        <w:t>s</w:t>
      </w:r>
      <w:r w:rsidRPr="00156FEA">
        <w:rPr>
          <w:rFonts w:ascii="Rockwell" w:hAnsi="Rockwell"/>
          <w:sz w:val="24"/>
          <w:szCs w:val="24"/>
        </w:rPr>
        <w:t>tore</w:t>
      </w:r>
      <w:proofErr w:type="gramEnd"/>
      <w:r w:rsidRPr="00156FEA">
        <w:rPr>
          <w:rFonts w:ascii="Rockwell" w:hAnsi="Rockwell"/>
          <w:sz w:val="24"/>
          <w:szCs w:val="24"/>
        </w:rPr>
        <w:t xml:space="preserve"> chemicals in </w:t>
      </w:r>
      <w:r w:rsidRPr="00156FEA">
        <w:rPr>
          <w:rFonts w:ascii="Rockwell" w:hAnsi="Rockwell"/>
          <w:bCs/>
          <w:sz w:val="24"/>
          <w:szCs w:val="24"/>
        </w:rPr>
        <w:t>designated, clearly labeled areas</w:t>
      </w:r>
      <w:r w:rsidRPr="00156FEA">
        <w:rPr>
          <w:rFonts w:ascii="Rockwell" w:hAnsi="Rockwell"/>
          <w:sz w:val="24"/>
          <w:szCs w:val="24"/>
        </w:rPr>
        <w:t xml:space="preserve">, away from incompatible substances. </w:t>
      </w:r>
    </w:p>
    <w:p w:rsidR="00325A9B" w:rsidRPr="00156FEA" w:rsidRDefault="00325A9B" w:rsidP="00254997">
      <w:pPr>
        <w:pStyle w:val="ListParagraph"/>
        <w:numPr>
          <w:ilvl w:val="0"/>
          <w:numId w:val="33"/>
        </w:numPr>
        <w:spacing w:before="100" w:beforeAutospacing="1" w:after="100" w:afterAutospacing="1" w:line="256" w:lineRule="auto"/>
        <w:jc w:val="both"/>
        <w:rPr>
          <w:rFonts w:ascii="Rockwell" w:hAnsi="Rockwell"/>
          <w:sz w:val="24"/>
          <w:szCs w:val="24"/>
        </w:rPr>
      </w:pPr>
      <w:r w:rsidRPr="00156FEA">
        <w:rPr>
          <w:rFonts w:ascii="Rockwell" w:hAnsi="Rockwell"/>
          <w:sz w:val="24"/>
          <w:szCs w:val="24"/>
        </w:rPr>
        <w:t xml:space="preserve">Use </w:t>
      </w:r>
      <w:r w:rsidRPr="00156FEA">
        <w:rPr>
          <w:rFonts w:ascii="Rockwell" w:hAnsi="Rockwell"/>
          <w:bCs/>
          <w:sz w:val="24"/>
          <w:szCs w:val="24"/>
        </w:rPr>
        <w:t>secondary containment</w:t>
      </w:r>
      <w:r w:rsidRPr="00156FEA">
        <w:rPr>
          <w:rFonts w:ascii="Rockwell" w:hAnsi="Rockwell"/>
          <w:sz w:val="24"/>
          <w:szCs w:val="24"/>
        </w:rPr>
        <w:t xml:space="preserve"> (e.g. </w:t>
      </w:r>
      <w:proofErr w:type="spellStart"/>
      <w:r w:rsidRPr="00156FEA">
        <w:rPr>
          <w:rFonts w:ascii="Rockwell" w:hAnsi="Rockwell"/>
          <w:sz w:val="24"/>
          <w:szCs w:val="24"/>
        </w:rPr>
        <w:t>bunded</w:t>
      </w:r>
      <w:proofErr w:type="spellEnd"/>
      <w:r w:rsidRPr="00156FEA">
        <w:rPr>
          <w:rFonts w:ascii="Rockwell" w:hAnsi="Rockwell"/>
          <w:sz w:val="24"/>
          <w:szCs w:val="24"/>
        </w:rPr>
        <w:t xml:space="preserve"> areas) to prevent spills from reaching soil/water.</w:t>
      </w:r>
    </w:p>
    <w:p w:rsidR="00325A9B" w:rsidRPr="00156FEA" w:rsidRDefault="00325A9B" w:rsidP="00254997">
      <w:pPr>
        <w:pStyle w:val="ListParagraph"/>
        <w:numPr>
          <w:ilvl w:val="0"/>
          <w:numId w:val="33"/>
        </w:numPr>
        <w:spacing w:before="100" w:beforeAutospacing="1" w:after="100" w:afterAutospacing="1" w:line="256" w:lineRule="auto"/>
        <w:jc w:val="both"/>
        <w:rPr>
          <w:rFonts w:ascii="Rockwell" w:hAnsi="Rockwell"/>
          <w:sz w:val="24"/>
          <w:szCs w:val="24"/>
        </w:rPr>
      </w:pPr>
      <w:r w:rsidRPr="00156FEA">
        <w:rPr>
          <w:rFonts w:ascii="Rockwell" w:hAnsi="Rockwell"/>
          <w:sz w:val="24"/>
          <w:szCs w:val="24"/>
        </w:rPr>
        <w:lastRenderedPageBreak/>
        <w:t xml:space="preserve">Install </w:t>
      </w:r>
      <w:r w:rsidRPr="00156FEA">
        <w:rPr>
          <w:rFonts w:ascii="Rockwell" w:hAnsi="Rockwell"/>
          <w:bCs/>
          <w:sz w:val="24"/>
          <w:szCs w:val="24"/>
        </w:rPr>
        <w:t>proper ventilation systems</w:t>
      </w:r>
      <w:r w:rsidRPr="00156FEA">
        <w:rPr>
          <w:rFonts w:ascii="Rockwell" w:hAnsi="Rockwell"/>
          <w:sz w:val="24"/>
          <w:szCs w:val="24"/>
        </w:rPr>
        <w:t xml:space="preserve"> for volatile or gaseous chemicals.</w:t>
      </w:r>
    </w:p>
    <w:p w:rsidR="00325A9B" w:rsidRPr="00156FEA" w:rsidRDefault="00325A9B" w:rsidP="00254997">
      <w:pPr>
        <w:pStyle w:val="ListParagraph"/>
        <w:numPr>
          <w:ilvl w:val="0"/>
          <w:numId w:val="33"/>
        </w:numPr>
        <w:spacing w:before="100" w:beforeAutospacing="1" w:after="100" w:afterAutospacing="1" w:line="256" w:lineRule="auto"/>
        <w:jc w:val="both"/>
        <w:rPr>
          <w:rFonts w:ascii="Rockwell" w:hAnsi="Rockwell"/>
          <w:sz w:val="24"/>
          <w:szCs w:val="24"/>
        </w:rPr>
      </w:pPr>
      <w:r w:rsidRPr="00156FEA">
        <w:rPr>
          <w:rFonts w:ascii="Rockwell" w:hAnsi="Rockwell"/>
          <w:bCs/>
          <w:sz w:val="24"/>
          <w:szCs w:val="24"/>
        </w:rPr>
        <w:t>Train workers</w:t>
      </w:r>
      <w:r w:rsidRPr="00156FEA">
        <w:rPr>
          <w:rFonts w:ascii="Rockwell" w:hAnsi="Rockwell"/>
          <w:sz w:val="24"/>
          <w:szCs w:val="24"/>
        </w:rPr>
        <w:t xml:space="preserve"> on safe handling and PPE (personal protective equipment) requirements.</w:t>
      </w:r>
    </w:p>
    <w:p w:rsidR="00325A9B" w:rsidRPr="00156FEA" w:rsidRDefault="00325A9B" w:rsidP="00254997">
      <w:pPr>
        <w:spacing w:after="100" w:afterAutospacing="1"/>
        <w:jc w:val="both"/>
        <w:rPr>
          <w:rFonts w:ascii="Rockwell" w:hAnsi="Rockwell"/>
          <w:sz w:val="24"/>
          <w:szCs w:val="24"/>
        </w:rPr>
      </w:pPr>
      <w:r w:rsidRPr="00156FEA">
        <w:rPr>
          <w:rFonts w:ascii="Rockwell" w:hAnsi="Rockwell"/>
          <w:sz w:val="24"/>
          <w:szCs w:val="24"/>
        </w:rPr>
        <w:t>For instance, cyanide used in gold mining should be stored in sealed containers with spill response protocols and emergency showers nearby.</w:t>
      </w:r>
    </w:p>
    <w:p w:rsidR="00156FEA" w:rsidRPr="00156FEA" w:rsidRDefault="00325A9B" w:rsidP="00156FEA">
      <w:pPr>
        <w:pStyle w:val="ListParagraph"/>
        <w:numPr>
          <w:ilvl w:val="0"/>
          <w:numId w:val="36"/>
        </w:numPr>
        <w:spacing w:before="100" w:beforeAutospacing="1" w:after="100" w:afterAutospacing="1" w:line="256" w:lineRule="auto"/>
        <w:ind w:left="709" w:hanging="283"/>
        <w:jc w:val="both"/>
        <w:rPr>
          <w:rFonts w:ascii="Rockwell" w:eastAsia="Times New Roman" w:hAnsi="Rockwell" w:cs="Times New Roman"/>
          <w:b/>
          <w:sz w:val="24"/>
          <w:szCs w:val="24"/>
        </w:rPr>
      </w:pPr>
      <w:r w:rsidRPr="00156FEA">
        <w:rPr>
          <w:rFonts w:ascii="Rockwell" w:hAnsi="Rockwell"/>
          <w:b/>
          <w:bCs/>
          <w:sz w:val="24"/>
          <w:szCs w:val="24"/>
        </w:rPr>
        <w:t xml:space="preserve"> </w:t>
      </w:r>
      <w:r w:rsidRPr="00156FEA">
        <w:rPr>
          <w:rFonts w:ascii="Rockwell" w:eastAsia="Times New Roman" w:hAnsi="Rockwell" w:cs="Times New Roman"/>
          <w:b/>
          <w:sz w:val="24"/>
          <w:szCs w:val="24"/>
        </w:rPr>
        <w:t>Spill Prevention and Response</w:t>
      </w:r>
      <w:r w:rsidR="00254997" w:rsidRPr="00156FEA">
        <w:rPr>
          <w:rFonts w:ascii="Rockwell" w:eastAsia="Times New Roman" w:hAnsi="Rockwell" w:cs="Times New Roman"/>
          <w:b/>
          <w:sz w:val="24"/>
          <w:szCs w:val="24"/>
        </w:rPr>
        <w:t xml:space="preserve"> </w:t>
      </w:r>
      <w:r w:rsidR="00254997" w:rsidRPr="00156FEA">
        <w:rPr>
          <w:rFonts w:ascii="Rockwell" w:eastAsia="Times New Roman" w:hAnsi="Rockwell" w:cs="Times New Roman"/>
          <w:sz w:val="24"/>
          <w:szCs w:val="24"/>
        </w:rPr>
        <w:t xml:space="preserve">- </w:t>
      </w:r>
      <w:r w:rsidRPr="00156FEA">
        <w:rPr>
          <w:rFonts w:ascii="Rockwell" w:eastAsia="Times New Roman" w:hAnsi="Rockwell" w:cs="Times New Roman"/>
          <w:sz w:val="24"/>
          <w:szCs w:val="24"/>
        </w:rPr>
        <w:t>The operator must develop a Chemical Spill Prevention and Response Plan, including: emergency contacts, spill kits that are readily accessible and First aid procedures. Additionally, the operator must conduct regular spill response drills with employees and implement real-time monitoring systems in sensitive areas (e.g. near tailings, process plants).</w:t>
      </w:r>
    </w:p>
    <w:p w:rsidR="00156FEA" w:rsidRPr="00156FEA" w:rsidRDefault="00156FEA" w:rsidP="00156FEA">
      <w:pPr>
        <w:pStyle w:val="ListParagraph"/>
        <w:spacing w:before="100" w:beforeAutospacing="1" w:after="100" w:afterAutospacing="1" w:line="256" w:lineRule="auto"/>
        <w:ind w:left="709"/>
        <w:jc w:val="both"/>
        <w:rPr>
          <w:rFonts w:ascii="Rockwell" w:eastAsia="Times New Roman" w:hAnsi="Rockwell" w:cs="Times New Roman"/>
          <w:b/>
          <w:sz w:val="24"/>
          <w:szCs w:val="24"/>
        </w:rPr>
      </w:pPr>
    </w:p>
    <w:p w:rsidR="00156FEA" w:rsidRPr="00156FEA" w:rsidRDefault="00156FEA" w:rsidP="00156FEA">
      <w:pPr>
        <w:pStyle w:val="ListParagraph"/>
        <w:numPr>
          <w:ilvl w:val="0"/>
          <w:numId w:val="36"/>
        </w:numPr>
        <w:spacing w:before="100" w:beforeAutospacing="1" w:after="100" w:afterAutospacing="1" w:line="256" w:lineRule="auto"/>
        <w:ind w:left="709" w:hanging="283"/>
        <w:jc w:val="both"/>
        <w:rPr>
          <w:rFonts w:ascii="Rockwell" w:eastAsia="Times New Roman" w:hAnsi="Rockwell" w:cs="Times New Roman"/>
          <w:b/>
          <w:sz w:val="24"/>
          <w:szCs w:val="24"/>
        </w:rPr>
      </w:pPr>
      <w:r w:rsidRPr="00156FEA">
        <w:rPr>
          <w:rFonts w:ascii="Rockwell" w:hAnsi="Rockwell"/>
          <w:b/>
          <w:bCs/>
          <w:sz w:val="24"/>
          <w:szCs w:val="24"/>
        </w:rPr>
        <w:t xml:space="preserve">Substitution and Chemical Minimization - </w:t>
      </w:r>
      <w:r w:rsidRPr="00156FEA">
        <w:rPr>
          <w:rFonts w:ascii="Rockwell" w:hAnsi="Rockwell"/>
          <w:bCs/>
          <w:sz w:val="24"/>
          <w:szCs w:val="24"/>
        </w:rPr>
        <w:t xml:space="preserve">The operator will prioritize chemical use minimization and substitution as practically feasible. </w:t>
      </w:r>
      <w:r w:rsidRPr="00156FEA">
        <w:rPr>
          <w:rFonts w:ascii="Rockwell" w:hAnsi="Rockwell"/>
          <w:sz w:val="24"/>
          <w:szCs w:val="24"/>
        </w:rPr>
        <w:t xml:space="preserve">Where feasible, the operator will </w:t>
      </w:r>
      <w:r w:rsidRPr="00156FEA">
        <w:rPr>
          <w:rFonts w:ascii="Rockwell" w:hAnsi="Rockwell"/>
          <w:bCs/>
          <w:sz w:val="24"/>
          <w:szCs w:val="24"/>
        </w:rPr>
        <w:t>replace hazardous chemicals</w:t>
      </w:r>
      <w:r w:rsidRPr="00156FEA">
        <w:rPr>
          <w:rFonts w:ascii="Rockwell" w:hAnsi="Rockwell"/>
          <w:sz w:val="24"/>
          <w:szCs w:val="24"/>
        </w:rPr>
        <w:t xml:space="preserve"> with less toxic alternatives.</w:t>
      </w:r>
      <w:r w:rsidRPr="00156FEA">
        <w:rPr>
          <w:rFonts w:ascii="Rockwell" w:hAnsi="Rockwell"/>
          <w:bCs/>
          <w:sz w:val="24"/>
          <w:szCs w:val="24"/>
        </w:rPr>
        <w:t xml:space="preserve"> In addition, m</w:t>
      </w:r>
      <w:r w:rsidRPr="00156FEA">
        <w:rPr>
          <w:rFonts w:ascii="Rockwell" w:hAnsi="Rockwell"/>
          <w:sz w:val="24"/>
          <w:szCs w:val="24"/>
        </w:rPr>
        <w:t>inimize use of high-risk chemicals through Process optimization</w:t>
      </w:r>
      <w:r w:rsidRPr="00156FEA">
        <w:rPr>
          <w:rFonts w:ascii="Rockwell" w:hAnsi="Rockwell"/>
          <w:bCs/>
          <w:sz w:val="24"/>
          <w:szCs w:val="24"/>
        </w:rPr>
        <w:t xml:space="preserve">, </w:t>
      </w:r>
      <w:r w:rsidRPr="00156FEA">
        <w:rPr>
          <w:rFonts w:ascii="Rockwell" w:hAnsi="Rockwell"/>
          <w:sz w:val="24"/>
          <w:szCs w:val="24"/>
        </w:rPr>
        <w:t>Reagent recovery and reuse</w:t>
      </w:r>
      <w:r w:rsidRPr="00156FEA">
        <w:rPr>
          <w:rFonts w:ascii="Rockwell" w:hAnsi="Rockwell"/>
          <w:bCs/>
          <w:sz w:val="24"/>
          <w:szCs w:val="24"/>
        </w:rPr>
        <w:t xml:space="preserve"> and </w:t>
      </w:r>
      <w:r w:rsidRPr="00156FEA">
        <w:rPr>
          <w:rFonts w:ascii="Rockwell" w:hAnsi="Rockwell"/>
          <w:sz w:val="24"/>
          <w:szCs w:val="24"/>
        </w:rPr>
        <w:t>dilution control</w:t>
      </w:r>
      <w:r w:rsidRPr="00156FEA">
        <w:rPr>
          <w:rFonts w:ascii="Rockwell" w:hAnsi="Rockwell"/>
          <w:bCs/>
          <w:sz w:val="24"/>
          <w:szCs w:val="24"/>
        </w:rPr>
        <w:t>. For example, u</w:t>
      </w:r>
      <w:r w:rsidRPr="00156FEA">
        <w:rPr>
          <w:rFonts w:ascii="Rockwell" w:hAnsi="Rockwell"/>
          <w:sz w:val="24"/>
          <w:szCs w:val="24"/>
        </w:rPr>
        <w:t>sing thiosulfate instead of cyanide for gold leaching in some operations.</w:t>
      </w:r>
    </w:p>
    <w:p w:rsidR="00156FEA" w:rsidRPr="00156FEA" w:rsidRDefault="00156FEA" w:rsidP="00156FEA">
      <w:pPr>
        <w:pStyle w:val="ListParagraph"/>
        <w:rPr>
          <w:rFonts w:ascii="Rockwell" w:hAnsi="Rockwell"/>
          <w:b/>
          <w:bCs/>
          <w:sz w:val="24"/>
          <w:szCs w:val="24"/>
        </w:rPr>
      </w:pPr>
    </w:p>
    <w:p w:rsidR="00156FEA" w:rsidRPr="00156FEA" w:rsidRDefault="00325A9B" w:rsidP="00156FEA">
      <w:pPr>
        <w:pStyle w:val="ListParagraph"/>
        <w:numPr>
          <w:ilvl w:val="0"/>
          <w:numId w:val="36"/>
        </w:numPr>
        <w:spacing w:before="100" w:beforeAutospacing="1" w:after="100" w:afterAutospacing="1" w:line="256" w:lineRule="auto"/>
        <w:ind w:left="709" w:hanging="283"/>
        <w:jc w:val="both"/>
        <w:rPr>
          <w:rFonts w:ascii="Rockwell" w:eastAsia="Times New Roman" w:hAnsi="Rockwell" w:cs="Times New Roman"/>
          <w:b/>
          <w:sz w:val="24"/>
          <w:szCs w:val="24"/>
        </w:rPr>
      </w:pPr>
      <w:r w:rsidRPr="00156FEA">
        <w:rPr>
          <w:rFonts w:ascii="Rockwell" w:hAnsi="Rockwell"/>
          <w:b/>
          <w:bCs/>
          <w:sz w:val="24"/>
          <w:szCs w:val="24"/>
        </w:rPr>
        <w:t>Compliance with Legal and International Standards</w:t>
      </w:r>
      <w:r w:rsidR="00254997" w:rsidRPr="00156FEA">
        <w:rPr>
          <w:rFonts w:ascii="Rockwell" w:hAnsi="Rockwell"/>
          <w:b/>
          <w:bCs/>
          <w:sz w:val="24"/>
          <w:szCs w:val="24"/>
        </w:rPr>
        <w:t xml:space="preserve"> </w:t>
      </w:r>
      <w:r w:rsidR="00254997" w:rsidRPr="00156FEA">
        <w:rPr>
          <w:rFonts w:ascii="Rockwell" w:hAnsi="Rockwell"/>
          <w:bCs/>
          <w:sz w:val="24"/>
          <w:szCs w:val="24"/>
        </w:rPr>
        <w:t xml:space="preserve">- </w:t>
      </w:r>
      <w:r w:rsidRPr="00156FEA">
        <w:rPr>
          <w:rFonts w:ascii="Rockwell" w:hAnsi="Rockwell"/>
          <w:bCs/>
          <w:sz w:val="24"/>
          <w:szCs w:val="24"/>
        </w:rPr>
        <w:t>The operator must comply with the provisions of Environmental Management and Coordination (Management of Toxic and Hazardous Chemicals and Materials) Regulations and other international standards such as ICMM's Good Practice Guidance on hazardous materials; Globally Harmonized System for chemical classification and labeling (UN GHS) and OECD Guidelines for chemical safety.</w:t>
      </w:r>
    </w:p>
    <w:p w:rsidR="00156FEA" w:rsidRPr="00156FEA" w:rsidRDefault="00156FEA" w:rsidP="00156FEA">
      <w:pPr>
        <w:pStyle w:val="ListParagraph"/>
        <w:rPr>
          <w:rFonts w:ascii="Rockwell" w:hAnsi="Rockwell"/>
          <w:b/>
          <w:bCs/>
          <w:sz w:val="24"/>
          <w:szCs w:val="24"/>
          <w:highlight w:val="yellow"/>
        </w:rPr>
      </w:pPr>
    </w:p>
    <w:p w:rsidR="00156FEA" w:rsidRPr="00156FEA" w:rsidRDefault="00325A9B" w:rsidP="00156FEA">
      <w:pPr>
        <w:pStyle w:val="ListParagraph"/>
        <w:numPr>
          <w:ilvl w:val="0"/>
          <w:numId w:val="36"/>
        </w:numPr>
        <w:spacing w:before="100" w:beforeAutospacing="1" w:after="100" w:afterAutospacing="1" w:line="256" w:lineRule="auto"/>
        <w:ind w:left="709" w:hanging="283"/>
        <w:jc w:val="both"/>
        <w:rPr>
          <w:rFonts w:ascii="Rockwell" w:eastAsia="Times New Roman" w:hAnsi="Rockwell" w:cs="Times New Roman"/>
          <w:b/>
          <w:sz w:val="24"/>
          <w:szCs w:val="24"/>
        </w:rPr>
      </w:pPr>
      <w:r w:rsidRPr="00156FEA">
        <w:rPr>
          <w:rFonts w:ascii="Rockwell" w:hAnsi="Rockwell"/>
          <w:b/>
          <w:bCs/>
          <w:sz w:val="24"/>
          <w:szCs w:val="24"/>
        </w:rPr>
        <w:t>Documentation and Auditing</w:t>
      </w:r>
      <w:r w:rsidR="00254997" w:rsidRPr="00156FEA">
        <w:rPr>
          <w:rFonts w:ascii="Rockwell" w:hAnsi="Rockwell"/>
          <w:b/>
          <w:bCs/>
          <w:sz w:val="24"/>
          <w:szCs w:val="24"/>
        </w:rPr>
        <w:t xml:space="preserve"> - </w:t>
      </w:r>
      <w:r w:rsidRPr="00156FEA">
        <w:rPr>
          <w:rFonts w:ascii="Rockwell" w:hAnsi="Rockwell"/>
          <w:bCs/>
          <w:sz w:val="24"/>
          <w:szCs w:val="24"/>
        </w:rPr>
        <w:t>The operator will k</w:t>
      </w:r>
      <w:r w:rsidRPr="00156FEA">
        <w:rPr>
          <w:rFonts w:ascii="Rockwell" w:hAnsi="Rockwell"/>
          <w:sz w:val="24"/>
          <w:szCs w:val="24"/>
        </w:rPr>
        <w:t>eep records of chemical purchases and usage</w:t>
      </w:r>
      <w:r w:rsidRPr="00156FEA">
        <w:rPr>
          <w:rFonts w:ascii="Rockwell" w:hAnsi="Rockwell"/>
          <w:bCs/>
          <w:sz w:val="24"/>
          <w:szCs w:val="24"/>
        </w:rPr>
        <w:t xml:space="preserve">, </w:t>
      </w:r>
      <w:r w:rsidRPr="00156FEA">
        <w:rPr>
          <w:rFonts w:ascii="Rockwell" w:hAnsi="Rockwell"/>
          <w:sz w:val="24"/>
          <w:szCs w:val="24"/>
        </w:rPr>
        <w:t>spill incidents</w:t>
      </w:r>
      <w:r w:rsidRPr="00156FEA">
        <w:rPr>
          <w:rFonts w:ascii="Rockwell" w:hAnsi="Rockwell"/>
          <w:bCs/>
          <w:sz w:val="24"/>
          <w:szCs w:val="24"/>
        </w:rPr>
        <w:t>, e</w:t>
      </w:r>
      <w:r w:rsidRPr="00156FEA">
        <w:rPr>
          <w:rFonts w:ascii="Rockwell" w:hAnsi="Rockwell"/>
          <w:sz w:val="24"/>
          <w:szCs w:val="24"/>
        </w:rPr>
        <w:t>mployee training</w:t>
      </w:r>
      <w:r w:rsidRPr="00156FEA">
        <w:rPr>
          <w:rFonts w:ascii="Rockwell" w:hAnsi="Rockwell"/>
          <w:bCs/>
          <w:sz w:val="24"/>
          <w:szCs w:val="24"/>
        </w:rPr>
        <w:t xml:space="preserve"> and s</w:t>
      </w:r>
      <w:r w:rsidRPr="00156FEA">
        <w:rPr>
          <w:rFonts w:ascii="Rockwell" w:hAnsi="Rockwell"/>
          <w:sz w:val="24"/>
          <w:szCs w:val="24"/>
        </w:rPr>
        <w:t>afety inspections</w:t>
      </w:r>
      <w:r w:rsidRPr="00156FEA">
        <w:rPr>
          <w:rFonts w:ascii="Rockwell" w:hAnsi="Rockwell"/>
          <w:bCs/>
          <w:sz w:val="24"/>
          <w:szCs w:val="24"/>
        </w:rPr>
        <w:t xml:space="preserve"> as well as c</w:t>
      </w:r>
      <w:r w:rsidRPr="00156FEA">
        <w:rPr>
          <w:rFonts w:ascii="Rockwell" w:hAnsi="Rockwell"/>
          <w:sz w:val="24"/>
          <w:szCs w:val="24"/>
        </w:rPr>
        <w:t xml:space="preserve">onduct </w:t>
      </w:r>
      <w:r w:rsidRPr="00156FEA">
        <w:rPr>
          <w:rFonts w:ascii="Rockwell" w:hAnsi="Rockwell"/>
          <w:bCs/>
          <w:sz w:val="24"/>
          <w:szCs w:val="24"/>
        </w:rPr>
        <w:t>internal and third-party audits</w:t>
      </w:r>
      <w:r w:rsidRPr="00156FEA">
        <w:rPr>
          <w:rFonts w:ascii="Rockwell" w:hAnsi="Rockwell"/>
          <w:sz w:val="24"/>
          <w:szCs w:val="24"/>
        </w:rPr>
        <w:t xml:space="preserve"> regularly to identify gaps and improve.</w:t>
      </w:r>
    </w:p>
    <w:p w:rsidR="00156FEA" w:rsidRPr="00156FEA" w:rsidRDefault="00156FEA" w:rsidP="00156FEA">
      <w:pPr>
        <w:pStyle w:val="ListParagraph"/>
        <w:rPr>
          <w:rFonts w:ascii="Rockwell" w:hAnsi="Rockwell"/>
          <w:b/>
          <w:bCs/>
          <w:sz w:val="24"/>
          <w:szCs w:val="24"/>
          <w:highlight w:val="yellow"/>
        </w:rPr>
      </w:pPr>
    </w:p>
    <w:p w:rsidR="00325A9B" w:rsidRPr="00156FEA" w:rsidRDefault="00325A9B" w:rsidP="00156FEA">
      <w:pPr>
        <w:pStyle w:val="ListParagraph"/>
        <w:numPr>
          <w:ilvl w:val="0"/>
          <w:numId w:val="36"/>
        </w:numPr>
        <w:spacing w:before="100" w:beforeAutospacing="1" w:after="100" w:afterAutospacing="1" w:line="256" w:lineRule="auto"/>
        <w:ind w:left="709" w:hanging="283"/>
        <w:jc w:val="both"/>
        <w:rPr>
          <w:rFonts w:ascii="Rockwell" w:eastAsia="Times New Roman" w:hAnsi="Rockwell" w:cs="Times New Roman"/>
          <w:b/>
          <w:sz w:val="24"/>
          <w:szCs w:val="24"/>
        </w:rPr>
      </w:pPr>
      <w:r w:rsidRPr="00156FEA">
        <w:rPr>
          <w:rFonts w:ascii="Rockwell" w:hAnsi="Rockwell"/>
          <w:b/>
          <w:bCs/>
          <w:sz w:val="24"/>
          <w:szCs w:val="24"/>
        </w:rPr>
        <w:t>Mine Closure &amp; Chemical Legacy Planning</w:t>
      </w:r>
    </w:p>
    <w:p w:rsidR="00325A9B" w:rsidRPr="00156FEA" w:rsidRDefault="00325A9B" w:rsidP="00254997">
      <w:pPr>
        <w:spacing w:after="100" w:afterAutospacing="1"/>
        <w:jc w:val="both"/>
        <w:rPr>
          <w:rFonts w:ascii="Rockwell" w:hAnsi="Rockwell"/>
          <w:bCs/>
          <w:sz w:val="24"/>
          <w:szCs w:val="24"/>
        </w:rPr>
      </w:pPr>
      <w:r w:rsidRPr="00156FEA">
        <w:rPr>
          <w:rFonts w:ascii="Rockwell" w:hAnsi="Rockwell"/>
          <w:bCs/>
          <w:sz w:val="24"/>
          <w:szCs w:val="24"/>
        </w:rPr>
        <w:t>The operator will:</w:t>
      </w:r>
    </w:p>
    <w:p w:rsidR="00325A9B" w:rsidRPr="00156FEA" w:rsidRDefault="00325A9B" w:rsidP="00254997">
      <w:pPr>
        <w:numPr>
          <w:ilvl w:val="0"/>
          <w:numId w:val="35"/>
        </w:numPr>
        <w:tabs>
          <w:tab w:val="left" w:pos="720"/>
        </w:tabs>
        <w:spacing w:before="100" w:beforeAutospacing="1" w:after="100" w:afterAutospacing="1" w:line="256" w:lineRule="auto"/>
        <w:jc w:val="both"/>
        <w:rPr>
          <w:rFonts w:ascii="Rockwell" w:hAnsi="Rockwell"/>
          <w:sz w:val="24"/>
          <w:szCs w:val="24"/>
        </w:rPr>
      </w:pPr>
      <w:r w:rsidRPr="00156FEA">
        <w:rPr>
          <w:rFonts w:ascii="Rockwell" w:hAnsi="Rockwell"/>
          <w:sz w:val="24"/>
          <w:szCs w:val="24"/>
        </w:rPr>
        <w:t xml:space="preserve">Develop a </w:t>
      </w:r>
      <w:r w:rsidRPr="00156FEA">
        <w:rPr>
          <w:rFonts w:ascii="Rockwell" w:hAnsi="Rockwell"/>
          <w:bCs/>
          <w:sz w:val="24"/>
          <w:szCs w:val="24"/>
        </w:rPr>
        <w:t>chemical decommissioning plan</w:t>
      </w:r>
      <w:r w:rsidRPr="00156FEA">
        <w:rPr>
          <w:rFonts w:ascii="Rockwell" w:hAnsi="Rockwell"/>
          <w:sz w:val="24"/>
          <w:szCs w:val="24"/>
        </w:rPr>
        <w:t xml:space="preserve"> as part of the mine closure strategy.</w:t>
      </w:r>
    </w:p>
    <w:p w:rsidR="00325A9B" w:rsidRPr="00156FEA" w:rsidRDefault="00325A9B" w:rsidP="00254997">
      <w:pPr>
        <w:numPr>
          <w:ilvl w:val="0"/>
          <w:numId w:val="35"/>
        </w:numPr>
        <w:tabs>
          <w:tab w:val="left" w:pos="720"/>
        </w:tabs>
        <w:spacing w:before="100" w:beforeAutospacing="1" w:after="100" w:afterAutospacing="1" w:line="256" w:lineRule="auto"/>
        <w:jc w:val="both"/>
        <w:rPr>
          <w:rFonts w:ascii="Rockwell" w:hAnsi="Rockwell"/>
          <w:sz w:val="24"/>
          <w:szCs w:val="24"/>
        </w:rPr>
      </w:pPr>
      <w:r w:rsidRPr="00156FEA">
        <w:rPr>
          <w:rFonts w:ascii="Rockwell" w:hAnsi="Rockwell"/>
          <w:sz w:val="24"/>
          <w:szCs w:val="24"/>
        </w:rPr>
        <w:t>Remove, neutralize, or safely dispose of all residual chemicals.</w:t>
      </w:r>
    </w:p>
    <w:p w:rsidR="00325A9B" w:rsidRPr="00156FEA" w:rsidRDefault="00325A9B" w:rsidP="00254997">
      <w:pPr>
        <w:numPr>
          <w:ilvl w:val="0"/>
          <w:numId w:val="35"/>
        </w:numPr>
        <w:tabs>
          <w:tab w:val="left" w:pos="720"/>
        </w:tabs>
        <w:spacing w:before="100" w:beforeAutospacing="1" w:after="100" w:afterAutospacing="1" w:line="256" w:lineRule="auto"/>
        <w:jc w:val="both"/>
        <w:rPr>
          <w:rFonts w:ascii="Rockwell" w:hAnsi="Rockwell"/>
          <w:sz w:val="24"/>
          <w:szCs w:val="24"/>
        </w:rPr>
      </w:pPr>
      <w:r w:rsidRPr="00156FEA">
        <w:rPr>
          <w:rFonts w:ascii="Rockwell" w:hAnsi="Rockwell"/>
          <w:sz w:val="24"/>
          <w:szCs w:val="24"/>
        </w:rPr>
        <w:t>Remediate contaminated soils and groundwater, especially around storage and processing areas</w:t>
      </w:r>
    </w:p>
    <w:p w:rsidR="00767FB2" w:rsidRPr="00156FEA" w:rsidRDefault="002F3767" w:rsidP="00767FB2">
      <w:pPr>
        <w:spacing w:before="100" w:beforeAutospacing="1" w:after="100" w:afterAutospacing="1" w:line="256" w:lineRule="auto"/>
        <w:jc w:val="both"/>
        <w:rPr>
          <w:rFonts w:ascii="Rockwell" w:hAnsi="Rockwell"/>
          <w:bCs/>
          <w:sz w:val="24"/>
          <w:szCs w:val="24"/>
        </w:rPr>
      </w:pPr>
      <w:bookmarkStart w:id="39" w:name="_Toc209047126"/>
      <w:proofErr w:type="gramStart"/>
      <w:r w:rsidRPr="00156FEA">
        <w:rPr>
          <w:rFonts w:ascii="Rockwell" w:eastAsia="Times New Roman" w:hAnsi="Rockwell" w:cs="Times New Roman"/>
          <w:b/>
          <w:sz w:val="24"/>
          <w:szCs w:val="24"/>
          <w:highlight w:val="yellow"/>
        </w:rPr>
        <w:t>f</w:t>
      </w:r>
      <w:proofErr w:type="gramEnd"/>
      <w:r w:rsidRPr="00156FEA">
        <w:rPr>
          <w:rFonts w:ascii="Rockwell" w:eastAsia="Times New Roman" w:hAnsi="Rockwell" w:cs="Times New Roman"/>
          <w:b/>
          <w:sz w:val="24"/>
          <w:szCs w:val="24"/>
          <w:highlight w:val="yellow"/>
        </w:rPr>
        <w:t xml:space="preserve">) </w:t>
      </w:r>
      <w:r w:rsidR="00767FB2" w:rsidRPr="00156FEA">
        <w:rPr>
          <w:rFonts w:ascii="Rockwell" w:hAnsi="Rockwell"/>
          <w:b/>
          <w:bCs/>
          <w:sz w:val="24"/>
          <w:szCs w:val="24"/>
          <w:highlight w:val="yellow"/>
        </w:rPr>
        <w:t>Public Health and Environmental Protection -</w:t>
      </w:r>
      <w:r w:rsidR="00767FB2" w:rsidRPr="00156FEA">
        <w:rPr>
          <w:rFonts w:ascii="Rockwell" w:hAnsi="Rockwell"/>
          <w:bCs/>
          <w:sz w:val="24"/>
          <w:szCs w:val="24"/>
          <w:highlight w:val="yellow"/>
        </w:rPr>
        <w:t xml:space="preserve">The operator should ensure that the community and the environment within the mining area is safe and protected. </w:t>
      </w:r>
      <w:r w:rsidR="00767FB2" w:rsidRPr="00156FEA">
        <w:rPr>
          <w:rFonts w:ascii="Rockwell" w:hAnsi="Rockwell"/>
          <w:bCs/>
          <w:sz w:val="24"/>
          <w:szCs w:val="24"/>
          <w:highlight w:val="yellow"/>
        </w:rPr>
        <w:lastRenderedPageBreak/>
        <w:t>The operator will on a regular basis e</w:t>
      </w:r>
      <w:r w:rsidR="00767FB2" w:rsidRPr="00156FEA">
        <w:rPr>
          <w:rFonts w:ascii="Rockwell" w:hAnsi="Rockwell"/>
          <w:sz w:val="24"/>
          <w:szCs w:val="24"/>
          <w:highlight w:val="yellow"/>
        </w:rPr>
        <w:t xml:space="preserve">ngage with </w:t>
      </w:r>
      <w:r w:rsidR="00767FB2" w:rsidRPr="00156FEA">
        <w:rPr>
          <w:rFonts w:ascii="Rockwell" w:hAnsi="Rockwell"/>
          <w:bCs/>
          <w:sz w:val="24"/>
          <w:szCs w:val="24"/>
          <w:highlight w:val="yellow"/>
        </w:rPr>
        <w:t>local communities</w:t>
      </w:r>
      <w:r w:rsidR="00767FB2" w:rsidRPr="00156FEA">
        <w:rPr>
          <w:rFonts w:ascii="Rockwell" w:hAnsi="Rockwell"/>
          <w:sz w:val="24"/>
          <w:szCs w:val="24"/>
          <w:highlight w:val="yellow"/>
        </w:rPr>
        <w:t xml:space="preserve"> about chemical risks and emergency protocols.</w:t>
      </w:r>
      <w:r w:rsidR="00767FB2" w:rsidRPr="00156FEA">
        <w:rPr>
          <w:rFonts w:ascii="Rockwell" w:hAnsi="Rockwell"/>
          <w:bCs/>
          <w:sz w:val="24"/>
          <w:szCs w:val="24"/>
          <w:highlight w:val="yellow"/>
        </w:rPr>
        <w:t xml:space="preserve"> The operator will establish buffer zones</w:t>
      </w:r>
      <w:r w:rsidR="00767FB2" w:rsidRPr="00156FEA">
        <w:rPr>
          <w:rFonts w:ascii="Rockwell" w:hAnsi="Rockwell"/>
          <w:sz w:val="24"/>
          <w:szCs w:val="24"/>
          <w:highlight w:val="yellow"/>
        </w:rPr>
        <w:t xml:space="preserve"> between chemical storage areas and water bodies or residential areas and implement </w:t>
      </w:r>
      <w:r w:rsidR="00767FB2" w:rsidRPr="00156FEA">
        <w:rPr>
          <w:rFonts w:ascii="Rockwell" w:hAnsi="Rockwell"/>
          <w:bCs/>
          <w:sz w:val="24"/>
          <w:szCs w:val="24"/>
          <w:highlight w:val="yellow"/>
        </w:rPr>
        <w:t>continuous environmental monitoring</w:t>
      </w:r>
      <w:r w:rsidR="00767FB2" w:rsidRPr="00156FEA">
        <w:rPr>
          <w:rFonts w:ascii="Rockwell" w:hAnsi="Rockwell"/>
          <w:sz w:val="24"/>
          <w:szCs w:val="24"/>
          <w:highlight w:val="yellow"/>
        </w:rPr>
        <w:t xml:space="preserve"> (soil, water, and air).</w:t>
      </w:r>
    </w:p>
    <w:p w:rsidR="00767FB2" w:rsidRPr="00447D9A" w:rsidRDefault="00767FB2" w:rsidP="00767FB2">
      <w:pPr>
        <w:spacing w:before="100" w:beforeAutospacing="1" w:after="100" w:afterAutospacing="1" w:line="256" w:lineRule="auto"/>
        <w:ind w:left="360"/>
        <w:jc w:val="both"/>
        <w:rPr>
          <w:rFonts w:ascii="Rockwell" w:hAnsi="Rockwell"/>
          <w:b/>
          <w:bCs/>
          <w:sz w:val="24"/>
          <w:szCs w:val="24"/>
        </w:rPr>
      </w:pPr>
      <w:r w:rsidRPr="00447D9A">
        <w:rPr>
          <w:rFonts w:ascii="Rockwell" w:hAnsi="Rockwell"/>
          <w:b/>
          <w:bCs/>
          <w:sz w:val="24"/>
          <w:szCs w:val="24"/>
        </w:rPr>
        <w:t xml:space="preserve">g) Occupational Safety and Health </w:t>
      </w:r>
    </w:p>
    <w:p w:rsidR="00FA0780" w:rsidRPr="00447D9A" w:rsidRDefault="00447D9A" w:rsidP="00767FB2">
      <w:pPr>
        <w:spacing w:before="100" w:beforeAutospacing="1" w:after="100" w:afterAutospacing="1" w:line="256" w:lineRule="auto"/>
        <w:ind w:left="360"/>
        <w:jc w:val="both"/>
        <w:rPr>
          <w:rFonts w:ascii="Rockwell" w:hAnsi="Rockwell"/>
          <w:bCs/>
          <w:sz w:val="24"/>
          <w:szCs w:val="24"/>
        </w:rPr>
      </w:pPr>
      <w:r w:rsidRPr="00447D9A">
        <w:rPr>
          <w:rFonts w:ascii="Rockwell" w:hAnsi="Rockwell"/>
          <w:bCs/>
          <w:sz w:val="24"/>
          <w:szCs w:val="24"/>
        </w:rPr>
        <w:t>O</w:t>
      </w:r>
      <w:r w:rsidR="00FA0780" w:rsidRPr="00447D9A">
        <w:rPr>
          <w:rFonts w:ascii="Rockwell" w:hAnsi="Rockwell"/>
          <w:bCs/>
          <w:sz w:val="24"/>
          <w:szCs w:val="24"/>
        </w:rPr>
        <w:t xml:space="preserve">ccupational safety and health influences </w:t>
      </w:r>
      <w:r w:rsidRPr="00447D9A">
        <w:rPr>
          <w:rFonts w:ascii="Rockwell" w:hAnsi="Rockwell"/>
          <w:bCs/>
          <w:sz w:val="24"/>
          <w:szCs w:val="24"/>
        </w:rPr>
        <w:t xml:space="preserve">environmental </w:t>
      </w:r>
      <w:r w:rsidR="00FA0780" w:rsidRPr="00447D9A">
        <w:rPr>
          <w:rFonts w:ascii="Rockwell" w:hAnsi="Rockwell"/>
          <w:bCs/>
          <w:sz w:val="24"/>
          <w:szCs w:val="24"/>
        </w:rPr>
        <w:t xml:space="preserve">deposit bonds determination by requiring a comprehensive OSH risk assessment and management plan as part of a deposit bonds assessment report. </w:t>
      </w:r>
      <w:r w:rsidRPr="00447D9A">
        <w:rPr>
          <w:rFonts w:ascii="Rockwell" w:hAnsi="Rockwell"/>
          <w:bCs/>
          <w:sz w:val="24"/>
          <w:szCs w:val="24"/>
        </w:rPr>
        <w:t xml:space="preserve">It requires details of health and safety hazards and controls related to mining operations to determine the appropriate financial bond needed to cover potential remediation, post-care and maintenance cost including those stemming from worker accidents and illnesses. </w:t>
      </w:r>
    </w:p>
    <w:p w:rsidR="00767FB2" w:rsidRPr="00447D9A" w:rsidRDefault="00767FB2" w:rsidP="00767FB2">
      <w:pPr>
        <w:spacing w:before="100" w:beforeAutospacing="1" w:after="100" w:afterAutospacing="1" w:line="256" w:lineRule="auto"/>
        <w:jc w:val="both"/>
        <w:rPr>
          <w:rFonts w:ascii="Rockwell" w:hAnsi="Rockwell"/>
          <w:bCs/>
          <w:sz w:val="24"/>
          <w:szCs w:val="24"/>
        </w:rPr>
      </w:pPr>
      <w:r w:rsidRPr="00447D9A">
        <w:rPr>
          <w:rFonts w:ascii="Rockwell" w:hAnsi="Rockwell"/>
          <w:bCs/>
          <w:sz w:val="24"/>
          <w:szCs w:val="24"/>
        </w:rPr>
        <w:t>The operator will:</w:t>
      </w:r>
    </w:p>
    <w:p w:rsidR="00767FB2" w:rsidRPr="00447D9A" w:rsidRDefault="00767FB2" w:rsidP="00767FB2">
      <w:pPr>
        <w:numPr>
          <w:ilvl w:val="0"/>
          <w:numId w:val="34"/>
        </w:numPr>
        <w:tabs>
          <w:tab w:val="left" w:pos="720"/>
        </w:tabs>
        <w:spacing w:before="100" w:beforeAutospacing="1" w:after="100" w:afterAutospacing="1" w:line="256" w:lineRule="auto"/>
        <w:jc w:val="both"/>
        <w:rPr>
          <w:rFonts w:ascii="Rockwell" w:hAnsi="Rockwell"/>
          <w:sz w:val="24"/>
          <w:szCs w:val="24"/>
        </w:rPr>
      </w:pPr>
      <w:r w:rsidRPr="00447D9A">
        <w:rPr>
          <w:rFonts w:ascii="Rockwell" w:hAnsi="Rockwell"/>
          <w:sz w:val="24"/>
          <w:szCs w:val="24"/>
        </w:rPr>
        <w:t xml:space="preserve">Provide </w:t>
      </w:r>
      <w:r w:rsidRPr="00447D9A">
        <w:rPr>
          <w:rFonts w:ascii="Rockwell" w:hAnsi="Rockwell"/>
          <w:bCs/>
          <w:sz w:val="24"/>
          <w:szCs w:val="24"/>
        </w:rPr>
        <w:t xml:space="preserve">ongoing </w:t>
      </w:r>
      <w:r w:rsidR="00447D9A" w:rsidRPr="00447D9A">
        <w:rPr>
          <w:rFonts w:ascii="Rockwell" w:hAnsi="Rockwell"/>
          <w:bCs/>
          <w:sz w:val="24"/>
          <w:szCs w:val="24"/>
        </w:rPr>
        <w:t xml:space="preserve">safety </w:t>
      </w:r>
      <w:r w:rsidRPr="00447D9A">
        <w:rPr>
          <w:rFonts w:ascii="Rockwell" w:hAnsi="Rockwell"/>
          <w:bCs/>
          <w:sz w:val="24"/>
          <w:szCs w:val="24"/>
        </w:rPr>
        <w:t>training</w:t>
      </w:r>
      <w:r w:rsidRPr="00447D9A">
        <w:rPr>
          <w:rFonts w:ascii="Rockwell" w:hAnsi="Rockwell"/>
          <w:sz w:val="24"/>
          <w:szCs w:val="24"/>
        </w:rPr>
        <w:t xml:space="preserve"> </w:t>
      </w:r>
      <w:r w:rsidR="00447D9A" w:rsidRPr="00447D9A">
        <w:rPr>
          <w:rFonts w:ascii="Rockwell" w:hAnsi="Rockwell"/>
          <w:sz w:val="24"/>
          <w:szCs w:val="24"/>
        </w:rPr>
        <w:t xml:space="preserve">such as </w:t>
      </w:r>
      <w:r w:rsidRPr="00447D9A">
        <w:rPr>
          <w:rFonts w:ascii="Rockwell" w:hAnsi="Rockwell"/>
          <w:sz w:val="24"/>
          <w:szCs w:val="24"/>
        </w:rPr>
        <w:t>chemical handling, PPE</w:t>
      </w:r>
      <w:r w:rsidR="00447D9A" w:rsidRPr="00447D9A">
        <w:rPr>
          <w:rFonts w:ascii="Rockwell" w:hAnsi="Rockwell"/>
          <w:sz w:val="24"/>
          <w:szCs w:val="24"/>
        </w:rPr>
        <w:t xml:space="preserve"> usage</w:t>
      </w:r>
      <w:r w:rsidRPr="00447D9A">
        <w:rPr>
          <w:rFonts w:ascii="Rockwell" w:hAnsi="Rockwell"/>
          <w:sz w:val="24"/>
          <w:szCs w:val="24"/>
        </w:rPr>
        <w:t xml:space="preserve">, and </w:t>
      </w:r>
      <w:r w:rsidR="00447D9A" w:rsidRPr="00447D9A">
        <w:rPr>
          <w:rFonts w:ascii="Rockwell" w:hAnsi="Rockwell"/>
          <w:sz w:val="24"/>
          <w:szCs w:val="24"/>
        </w:rPr>
        <w:t xml:space="preserve">hazard exposure </w:t>
      </w:r>
      <w:r w:rsidRPr="00447D9A">
        <w:rPr>
          <w:rFonts w:ascii="Rockwell" w:hAnsi="Rockwell"/>
          <w:sz w:val="24"/>
          <w:szCs w:val="24"/>
        </w:rPr>
        <w:t>recognition.</w:t>
      </w:r>
    </w:p>
    <w:p w:rsidR="00767FB2" w:rsidRPr="00447D9A" w:rsidRDefault="00447D9A" w:rsidP="00767FB2">
      <w:pPr>
        <w:numPr>
          <w:ilvl w:val="0"/>
          <w:numId w:val="34"/>
        </w:numPr>
        <w:tabs>
          <w:tab w:val="left" w:pos="720"/>
        </w:tabs>
        <w:spacing w:before="100" w:beforeAutospacing="1" w:after="100" w:afterAutospacing="1" w:line="256" w:lineRule="auto"/>
        <w:jc w:val="both"/>
        <w:rPr>
          <w:rFonts w:ascii="Rockwell" w:hAnsi="Rockwell"/>
          <w:sz w:val="24"/>
          <w:szCs w:val="24"/>
        </w:rPr>
      </w:pPr>
      <w:r w:rsidRPr="00447D9A">
        <w:rPr>
          <w:rFonts w:ascii="Rockwell" w:hAnsi="Rockwell"/>
          <w:sz w:val="24"/>
          <w:szCs w:val="24"/>
        </w:rPr>
        <w:t>Evaluate and m</w:t>
      </w:r>
      <w:r w:rsidR="00767FB2" w:rsidRPr="00447D9A">
        <w:rPr>
          <w:rFonts w:ascii="Rockwell" w:hAnsi="Rockwell"/>
          <w:sz w:val="24"/>
          <w:szCs w:val="24"/>
        </w:rPr>
        <w:t xml:space="preserve">onitor </w:t>
      </w:r>
      <w:r w:rsidRPr="00447D9A">
        <w:rPr>
          <w:rFonts w:ascii="Rockwell" w:hAnsi="Rockwell"/>
          <w:sz w:val="24"/>
          <w:szCs w:val="24"/>
        </w:rPr>
        <w:t xml:space="preserve">occupational hazards such as </w:t>
      </w:r>
      <w:r w:rsidR="00767FB2" w:rsidRPr="00447D9A">
        <w:rPr>
          <w:rFonts w:ascii="Rockwell" w:hAnsi="Rockwell"/>
          <w:bCs/>
          <w:sz w:val="24"/>
          <w:szCs w:val="24"/>
        </w:rPr>
        <w:t>air quality</w:t>
      </w:r>
      <w:r w:rsidR="00767FB2" w:rsidRPr="00447D9A">
        <w:rPr>
          <w:rFonts w:ascii="Rockwell" w:hAnsi="Rockwell"/>
          <w:sz w:val="24"/>
          <w:szCs w:val="24"/>
        </w:rPr>
        <w:t xml:space="preserve"> and </w:t>
      </w:r>
      <w:r w:rsidR="00767FB2" w:rsidRPr="00447D9A">
        <w:rPr>
          <w:rFonts w:ascii="Rockwell" w:hAnsi="Rockwell"/>
          <w:bCs/>
          <w:sz w:val="24"/>
          <w:szCs w:val="24"/>
        </w:rPr>
        <w:t>exposure levels</w:t>
      </w:r>
      <w:r w:rsidR="00767FB2" w:rsidRPr="00447D9A">
        <w:rPr>
          <w:rFonts w:ascii="Rockwell" w:hAnsi="Rockwell"/>
          <w:sz w:val="24"/>
          <w:szCs w:val="24"/>
        </w:rPr>
        <w:t xml:space="preserve"> for dust, gases (e.g., </w:t>
      </w:r>
      <w:proofErr w:type="spellStart"/>
      <w:r w:rsidR="00767FB2" w:rsidRPr="00447D9A">
        <w:rPr>
          <w:rFonts w:ascii="Rockwell" w:hAnsi="Rockwell"/>
          <w:sz w:val="24"/>
          <w:szCs w:val="24"/>
        </w:rPr>
        <w:t>NOx</w:t>
      </w:r>
      <w:proofErr w:type="spellEnd"/>
      <w:r w:rsidR="00767FB2" w:rsidRPr="00447D9A">
        <w:rPr>
          <w:rFonts w:ascii="Rockwell" w:hAnsi="Rockwell"/>
          <w:sz w:val="24"/>
          <w:szCs w:val="24"/>
        </w:rPr>
        <w:t xml:space="preserve">, </w:t>
      </w:r>
      <w:proofErr w:type="spellStart"/>
      <w:r w:rsidR="00767FB2" w:rsidRPr="00447D9A">
        <w:rPr>
          <w:rFonts w:ascii="Rockwell" w:hAnsi="Rockwell"/>
          <w:sz w:val="24"/>
          <w:szCs w:val="24"/>
        </w:rPr>
        <w:t>SOx</w:t>
      </w:r>
      <w:proofErr w:type="spellEnd"/>
      <w:r w:rsidR="00767FB2" w:rsidRPr="00447D9A">
        <w:rPr>
          <w:rFonts w:ascii="Rockwell" w:hAnsi="Rockwell"/>
          <w:sz w:val="24"/>
          <w:szCs w:val="24"/>
        </w:rPr>
        <w:t>), and solvents.</w:t>
      </w:r>
    </w:p>
    <w:p w:rsidR="00767FB2" w:rsidRPr="00447D9A" w:rsidRDefault="00767FB2" w:rsidP="00767FB2">
      <w:pPr>
        <w:numPr>
          <w:ilvl w:val="0"/>
          <w:numId w:val="34"/>
        </w:numPr>
        <w:tabs>
          <w:tab w:val="left" w:pos="720"/>
        </w:tabs>
        <w:spacing w:before="100" w:beforeAutospacing="1" w:after="100" w:afterAutospacing="1" w:line="256" w:lineRule="auto"/>
        <w:jc w:val="both"/>
        <w:rPr>
          <w:rFonts w:ascii="Rockwell" w:hAnsi="Rockwell"/>
          <w:sz w:val="24"/>
          <w:szCs w:val="24"/>
        </w:rPr>
      </w:pPr>
      <w:r w:rsidRPr="00447D9A">
        <w:rPr>
          <w:rFonts w:ascii="Rockwell" w:hAnsi="Rockwell"/>
          <w:sz w:val="24"/>
          <w:szCs w:val="24"/>
        </w:rPr>
        <w:t xml:space="preserve">Establish </w:t>
      </w:r>
      <w:r w:rsidRPr="00447D9A">
        <w:rPr>
          <w:rFonts w:ascii="Rockwell" w:hAnsi="Rockwell"/>
          <w:bCs/>
          <w:sz w:val="24"/>
          <w:szCs w:val="24"/>
        </w:rPr>
        <w:t>health surveillance programs</w:t>
      </w:r>
      <w:r w:rsidRPr="00447D9A">
        <w:rPr>
          <w:rFonts w:ascii="Rockwell" w:hAnsi="Rockwell"/>
          <w:sz w:val="24"/>
          <w:szCs w:val="24"/>
        </w:rPr>
        <w:t xml:space="preserve"> for early detection of chemical-related </w:t>
      </w:r>
      <w:r w:rsidRPr="00447D9A">
        <w:rPr>
          <w:rFonts w:ascii="Rockwell" w:hAnsi="Rockwell"/>
          <w:bCs/>
          <w:sz w:val="24"/>
          <w:szCs w:val="24"/>
        </w:rPr>
        <w:t>illnesses.</w:t>
      </w:r>
    </w:p>
    <w:p w:rsidR="008E29E3" w:rsidRPr="004A76D7" w:rsidRDefault="008E29E3" w:rsidP="00767FB2">
      <w:pPr>
        <w:pStyle w:val="Heading3"/>
        <w:numPr>
          <w:ilvl w:val="0"/>
          <w:numId w:val="25"/>
        </w:numPr>
        <w:jc w:val="both"/>
        <w:rPr>
          <w:rFonts w:ascii="Rockwell" w:eastAsia="Times New Roman" w:hAnsi="Rockwell" w:cs="Times New Roman"/>
          <w:b/>
          <w:sz w:val="24"/>
          <w:szCs w:val="24"/>
        </w:rPr>
      </w:pPr>
      <w:r w:rsidRPr="004A76D7">
        <w:rPr>
          <w:rFonts w:ascii="Rockwell" w:eastAsia="Times New Roman" w:hAnsi="Rockwell" w:cs="Times New Roman"/>
          <w:b/>
          <w:sz w:val="24"/>
          <w:szCs w:val="24"/>
        </w:rPr>
        <w:t>Biodiversity</w:t>
      </w:r>
      <w:bookmarkEnd w:id="39"/>
    </w:p>
    <w:p w:rsidR="007169A8"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Biodiversity is a key component of the ecosystem and must therefore be protected. It is</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advisable that biodiversity assessment is done during ESIA process and a clear</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framework for its protection and management to be in place during the</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 xml:space="preserve">decommissioning and rehabilitation planning. </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The following information should be</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provided in the Plan but not limited to:</w:t>
      </w:r>
    </w:p>
    <w:p w:rsidR="00BE4BD9" w:rsidRDefault="008E29E3" w:rsidP="00BE4BD9">
      <w:pPr>
        <w:pStyle w:val="ListParagraph"/>
        <w:numPr>
          <w:ilvl w:val="0"/>
          <w:numId w:val="44"/>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The biodiversity parameters that sh</w:t>
      </w:r>
      <w:r w:rsidR="00CE2077" w:rsidRPr="00BE4BD9">
        <w:rPr>
          <w:rFonts w:ascii="Rockwell" w:eastAsia="Times New Roman" w:hAnsi="Rockwell" w:cs="Times New Roman"/>
          <w:sz w:val="24"/>
          <w:szCs w:val="24"/>
        </w:rPr>
        <w:t>ould be assessed are; flora &amp;</w:t>
      </w:r>
      <w:r w:rsidRPr="00BE4BD9">
        <w:rPr>
          <w:rFonts w:ascii="Rockwell" w:eastAsia="Times New Roman" w:hAnsi="Rockwell" w:cs="Times New Roman"/>
          <w:sz w:val="24"/>
          <w:szCs w:val="24"/>
        </w:rPr>
        <w:t xml:space="preserve"> fauna, fresh water</w:t>
      </w:r>
      <w:r w:rsidR="00CE2077" w:rsidRPr="00BE4BD9">
        <w:rPr>
          <w:rFonts w:ascii="Rockwell" w:eastAsia="Times New Roman" w:hAnsi="Rockwell" w:cs="Times New Roman"/>
          <w:sz w:val="24"/>
          <w:szCs w:val="24"/>
        </w:rPr>
        <w:t xml:space="preserve"> &amp; </w:t>
      </w:r>
      <w:r w:rsidRPr="00BE4BD9">
        <w:rPr>
          <w:rFonts w:ascii="Rockwell" w:eastAsia="Times New Roman" w:hAnsi="Rockwell" w:cs="Times New Roman"/>
          <w:sz w:val="24"/>
          <w:szCs w:val="24"/>
        </w:rPr>
        <w:t>marine, Critical habitats/Fragile ecosystems as is applicable;</w:t>
      </w:r>
    </w:p>
    <w:p w:rsidR="00BE4BD9" w:rsidRDefault="008E29E3" w:rsidP="00BE4BD9">
      <w:pPr>
        <w:pStyle w:val="ListParagraph"/>
        <w:numPr>
          <w:ilvl w:val="0"/>
          <w:numId w:val="44"/>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Reference should be made to the biodiversi</w:t>
      </w:r>
      <w:r w:rsidR="003501B1" w:rsidRPr="00BE4BD9">
        <w:rPr>
          <w:rFonts w:ascii="Rockwell" w:eastAsia="Times New Roman" w:hAnsi="Rockwell" w:cs="Times New Roman"/>
          <w:sz w:val="24"/>
          <w:szCs w:val="24"/>
        </w:rPr>
        <w:t xml:space="preserve">ty assessment studies including </w:t>
      </w:r>
      <w:r w:rsidRPr="00BE4BD9">
        <w:rPr>
          <w:rFonts w:ascii="Rockwell" w:eastAsia="Times New Roman" w:hAnsi="Rockwell" w:cs="Times New Roman"/>
          <w:sz w:val="24"/>
          <w:szCs w:val="24"/>
        </w:rPr>
        <w:t>ecologically sensitive areas, threatened species which were done prior to the mining</w:t>
      </w:r>
      <w:r w:rsidR="003501B1" w:rsidRPr="00BE4BD9">
        <w:rPr>
          <w:rFonts w:ascii="Rockwell" w:eastAsia="Times New Roman" w:hAnsi="Rockwell" w:cs="Times New Roman"/>
          <w:sz w:val="24"/>
          <w:szCs w:val="24"/>
        </w:rPr>
        <w:t xml:space="preserve"> </w:t>
      </w:r>
      <w:r w:rsidRPr="00BE4BD9">
        <w:rPr>
          <w:rFonts w:ascii="Rockwell" w:eastAsia="Times New Roman" w:hAnsi="Rockwell" w:cs="Times New Roman"/>
          <w:sz w:val="24"/>
          <w:szCs w:val="24"/>
        </w:rPr>
        <w:t>operations;</w:t>
      </w:r>
    </w:p>
    <w:p w:rsidR="00BE4BD9" w:rsidRDefault="008E29E3" w:rsidP="00BE4BD9">
      <w:pPr>
        <w:pStyle w:val="ListParagraph"/>
        <w:numPr>
          <w:ilvl w:val="0"/>
          <w:numId w:val="44"/>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Offset: Indicate the biodiversity offset as a compensation to the loss of biodiversity;</w:t>
      </w:r>
    </w:p>
    <w:p w:rsidR="00BE4BD9" w:rsidRDefault="008E29E3" w:rsidP="00BE4BD9">
      <w:pPr>
        <w:pStyle w:val="ListParagraph"/>
        <w:numPr>
          <w:ilvl w:val="0"/>
          <w:numId w:val="44"/>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Opportunity cost: Discuss lost opportu</w:t>
      </w:r>
      <w:r w:rsidR="003501B1" w:rsidRPr="00BE4BD9">
        <w:rPr>
          <w:rFonts w:ascii="Rockwell" w:eastAsia="Times New Roman" w:hAnsi="Rockwell" w:cs="Times New Roman"/>
          <w:sz w:val="24"/>
          <w:szCs w:val="24"/>
        </w:rPr>
        <w:t xml:space="preserve">nity that might result from the </w:t>
      </w:r>
      <w:r w:rsidRPr="00BE4BD9">
        <w:rPr>
          <w:rFonts w:ascii="Rockwell" w:eastAsia="Times New Roman" w:hAnsi="Rockwell" w:cs="Times New Roman"/>
          <w:sz w:val="24"/>
          <w:szCs w:val="24"/>
        </w:rPr>
        <w:t>implementation of the mining activity with the de</w:t>
      </w:r>
      <w:r w:rsidR="003501B1" w:rsidRPr="00BE4BD9">
        <w:rPr>
          <w:rFonts w:ascii="Rockwell" w:eastAsia="Times New Roman" w:hAnsi="Rockwell" w:cs="Times New Roman"/>
          <w:sz w:val="24"/>
          <w:szCs w:val="24"/>
        </w:rPr>
        <w:t xml:space="preserve">sire to have a win-win scenario </w:t>
      </w:r>
      <w:r w:rsidRPr="00BE4BD9">
        <w:rPr>
          <w:rFonts w:ascii="Rockwell" w:eastAsia="Times New Roman" w:hAnsi="Rockwell" w:cs="Times New Roman"/>
          <w:sz w:val="24"/>
          <w:szCs w:val="24"/>
        </w:rPr>
        <w:t>between mining activities and conservation; and</w:t>
      </w:r>
    </w:p>
    <w:p w:rsidR="008E29E3" w:rsidRPr="00BE4BD9" w:rsidRDefault="008E29E3" w:rsidP="00BE4BD9">
      <w:pPr>
        <w:pStyle w:val="ListParagraph"/>
        <w:numPr>
          <w:ilvl w:val="0"/>
          <w:numId w:val="44"/>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Indicate the status of the ecological recovery at the site.</w:t>
      </w:r>
    </w:p>
    <w:p w:rsidR="008E29E3" w:rsidRPr="004A76D7" w:rsidRDefault="008E29E3" w:rsidP="000E7DFC">
      <w:pPr>
        <w:pStyle w:val="Heading3"/>
        <w:jc w:val="both"/>
        <w:rPr>
          <w:rFonts w:ascii="Rockwell" w:eastAsia="Times New Roman" w:hAnsi="Rockwell" w:cs="Times New Roman"/>
          <w:b/>
          <w:sz w:val="24"/>
          <w:szCs w:val="24"/>
        </w:rPr>
      </w:pPr>
      <w:r w:rsidRPr="004A76D7">
        <w:rPr>
          <w:rFonts w:ascii="Rockwell" w:eastAsia="Times New Roman" w:hAnsi="Rockwell" w:cs="Times New Roman"/>
          <w:b/>
          <w:sz w:val="24"/>
          <w:szCs w:val="24"/>
        </w:rPr>
        <w:lastRenderedPageBreak/>
        <w:t xml:space="preserve"> </w:t>
      </w:r>
      <w:bookmarkStart w:id="40" w:name="_Toc209047127"/>
      <w:r w:rsidR="007169A8">
        <w:rPr>
          <w:rFonts w:ascii="Rockwell" w:eastAsia="Times New Roman" w:hAnsi="Rockwell" w:cs="Times New Roman"/>
          <w:b/>
          <w:sz w:val="24"/>
          <w:szCs w:val="24"/>
        </w:rPr>
        <w:t xml:space="preserve">f) </w:t>
      </w:r>
      <w:r w:rsidRPr="004A76D7">
        <w:rPr>
          <w:rFonts w:ascii="Rockwell" w:eastAsia="Times New Roman" w:hAnsi="Rockwell" w:cs="Times New Roman"/>
          <w:b/>
          <w:sz w:val="24"/>
          <w:szCs w:val="24"/>
        </w:rPr>
        <w:t>Tailing Storage Facility (TSF) Management</w:t>
      </w:r>
      <w:bookmarkEnd w:id="40"/>
    </w:p>
    <w:p w:rsidR="008E29E3" w:rsidRPr="00BE4BD9" w:rsidRDefault="008E29E3" w:rsidP="00BE4BD9">
      <w:pPr>
        <w:pStyle w:val="ListParagraph"/>
        <w:numPr>
          <w:ilvl w:val="0"/>
          <w:numId w:val="45"/>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The steps taken for protection and stability of ta</w:t>
      </w:r>
      <w:r w:rsidR="003501B1" w:rsidRPr="00BE4BD9">
        <w:rPr>
          <w:rFonts w:ascii="Rockwell" w:eastAsia="Times New Roman" w:hAnsi="Rockwell" w:cs="Times New Roman"/>
          <w:sz w:val="24"/>
          <w:szCs w:val="24"/>
        </w:rPr>
        <w:t xml:space="preserve">ilings dam, periodic </w:t>
      </w:r>
      <w:proofErr w:type="spellStart"/>
      <w:r w:rsidR="003501B1" w:rsidRPr="00BE4BD9">
        <w:rPr>
          <w:rFonts w:ascii="Rockwell" w:eastAsia="Times New Roman" w:hAnsi="Rockwell" w:cs="Times New Roman"/>
          <w:sz w:val="24"/>
          <w:szCs w:val="24"/>
        </w:rPr>
        <w:t>desilting</w:t>
      </w:r>
      <w:proofErr w:type="spellEnd"/>
      <w:r w:rsidR="003501B1" w:rsidRPr="00BE4BD9">
        <w:rPr>
          <w:rFonts w:ascii="Rockwell" w:eastAsia="Times New Roman" w:hAnsi="Rockwell" w:cs="Times New Roman"/>
          <w:sz w:val="24"/>
          <w:szCs w:val="24"/>
        </w:rPr>
        <w:t xml:space="preserve">, </w:t>
      </w:r>
      <w:r w:rsidRPr="00BE4BD9">
        <w:rPr>
          <w:rFonts w:ascii="Rockwell" w:eastAsia="Times New Roman" w:hAnsi="Rockwell" w:cs="Times New Roman"/>
          <w:sz w:val="24"/>
          <w:szCs w:val="24"/>
        </w:rPr>
        <w:t>stabilization of tailings material and its utilization</w:t>
      </w:r>
    </w:p>
    <w:p w:rsidR="00BE4BD9" w:rsidRDefault="008E29E3" w:rsidP="00BE4BD9">
      <w:pPr>
        <w:pStyle w:val="ListParagraph"/>
        <w:numPr>
          <w:ilvl w:val="0"/>
          <w:numId w:val="45"/>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Measures to prevent water pollution from tailing</w:t>
      </w:r>
      <w:r w:rsidR="003501B1" w:rsidRPr="00BE4BD9">
        <w:rPr>
          <w:rFonts w:ascii="Rockwell" w:eastAsia="Times New Roman" w:hAnsi="Rockwell" w:cs="Times New Roman"/>
          <w:sz w:val="24"/>
          <w:szCs w:val="24"/>
        </w:rPr>
        <w:t xml:space="preserve">s arrangement for surplus water </w:t>
      </w:r>
      <w:r w:rsidRPr="00BE4BD9">
        <w:rPr>
          <w:rFonts w:ascii="Rockwell" w:eastAsia="Times New Roman" w:hAnsi="Rockwell" w:cs="Times New Roman"/>
          <w:sz w:val="24"/>
          <w:szCs w:val="24"/>
        </w:rPr>
        <w:t>overflow along with detail design, structural st</w:t>
      </w:r>
      <w:r w:rsidR="003501B1" w:rsidRPr="00BE4BD9">
        <w:rPr>
          <w:rFonts w:ascii="Rockwell" w:eastAsia="Times New Roman" w:hAnsi="Rockwell" w:cs="Times New Roman"/>
          <w:sz w:val="24"/>
          <w:szCs w:val="24"/>
        </w:rPr>
        <w:t xml:space="preserve">ability studies, the embankment </w:t>
      </w:r>
      <w:r w:rsidRPr="00BE4BD9">
        <w:rPr>
          <w:rFonts w:ascii="Rockwell" w:eastAsia="Times New Roman" w:hAnsi="Rockwell" w:cs="Times New Roman"/>
          <w:sz w:val="24"/>
          <w:szCs w:val="24"/>
        </w:rPr>
        <w:t xml:space="preserve">seepage loss into the receiving environment and </w:t>
      </w:r>
      <w:r w:rsidR="003501B1" w:rsidRPr="00BE4BD9">
        <w:rPr>
          <w:rFonts w:ascii="Rockwell" w:eastAsia="Times New Roman" w:hAnsi="Rockwell" w:cs="Times New Roman"/>
          <w:sz w:val="24"/>
          <w:szCs w:val="24"/>
        </w:rPr>
        <w:t xml:space="preserve">ground water contaminant if any </w:t>
      </w:r>
      <w:r w:rsidRPr="00BE4BD9">
        <w:rPr>
          <w:rFonts w:ascii="Rockwell" w:eastAsia="Times New Roman" w:hAnsi="Rockwell" w:cs="Times New Roman"/>
          <w:sz w:val="24"/>
          <w:szCs w:val="24"/>
        </w:rPr>
        <w:t>sho</w:t>
      </w:r>
      <w:r w:rsidR="00BE4BD9">
        <w:rPr>
          <w:rFonts w:ascii="Rockwell" w:eastAsia="Times New Roman" w:hAnsi="Rockwell" w:cs="Times New Roman"/>
          <w:sz w:val="24"/>
          <w:szCs w:val="24"/>
        </w:rPr>
        <w:t>uld be given.</w:t>
      </w:r>
    </w:p>
    <w:p w:rsidR="00BE4BD9" w:rsidRDefault="008E29E3" w:rsidP="00BE4BD9">
      <w:pPr>
        <w:pStyle w:val="ListParagraph"/>
        <w:numPr>
          <w:ilvl w:val="0"/>
          <w:numId w:val="45"/>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Post-care and maintenance plan for the TSF to be described</w:t>
      </w:r>
      <w:r w:rsidR="007169A8" w:rsidRPr="00BE4BD9">
        <w:rPr>
          <w:rFonts w:ascii="Rockwell" w:eastAsia="Times New Roman" w:hAnsi="Rockwell" w:cs="Times New Roman"/>
          <w:sz w:val="24"/>
          <w:szCs w:val="24"/>
        </w:rPr>
        <w:t xml:space="preserve"> in line with the global industry standards on TSFs in order to prevent catastrophic failures and enhance safety by addressing the social, environmental and safety aspects of TSF across their entire life cycle.</w:t>
      </w:r>
    </w:p>
    <w:p w:rsidR="008E29E3" w:rsidRPr="00BE4BD9" w:rsidRDefault="008E29E3" w:rsidP="00BE4BD9">
      <w:pPr>
        <w:pStyle w:val="ListParagraph"/>
        <w:numPr>
          <w:ilvl w:val="0"/>
          <w:numId w:val="45"/>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 xml:space="preserve">Provide details of the mineralogical studies done to </w:t>
      </w:r>
      <w:r w:rsidR="003501B1" w:rsidRPr="00BE4BD9">
        <w:rPr>
          <w:rFonts w:ascii="Rockwell" w:eastAsia="Times New Roman" w:hAnsi="Rockwell" w:cs="Times New Roman"/>
          <w:sz w:val="24"/>
          <w:szCs w:val="24"/>
        </w:rPr>
        <w:t xml:space="preserve">characterize tailings and cover </w:t>
      </w:r>
      <w:r w:rsidRPr="00BE4BD9">
        <w:rPr>
          <w:rFonts w:ascii="Rockwell" w:eastAsia="Times New Roman" w:hAnsi="Rockwell" w:cs="Times New Roman"/>
          <w:sz w:val="24"/>
          <w:szCs w:val="24"/>
        </w:rPr>
        <w:t>material and identify the presence and nature of pote</w:t>
      </w:r>
      <w:r w:rsidR="003501B1" w:rsidRPr="00BE4BD9">
        <w:rPr>
          <w:rFonts w:ascii="Rockwell" w:eastAsia="Times New Roman" w:hAnsi="Rockwell" w:cs="Times New Roman"/>
          <w:sz w:val="24"/>
          <w:szCs w:val="24"/>
        </w:rPr>
        <w:t xml:space="preserve">ntially acid producing sulfides </w:t>
      </w:r>
      <w:r w:rsidRPr="00BE4BD9">
        <w:rPr>
          <w:rFonts w:ascii="Rockwell" w:eastAsia="Times New Roman" w:hAnsi="Rockwell" w:cs="Times New Roman"/>
          <w:sz w:val="24"/>
          <w:szCs w:val="24"/>
        </w:rPr>
        <w:t xml:space="preserve">and any other liquids remaining in the TSF and their </w:t>
      </w:r>
      <w:r w:rsidR="003501B1" w:rsidRPr="00BE4BD9">
        <w:rPr>
          <w:rFonts w:ascii="Rockwell" w:eastAsia="Times New Roman" w:hAnsi="Rockwell" w:cs="Times New Roman"/>
          <w:sz w:val="24"/>
          <w:szCs w:val="24"/>
        </w:rPr>
        <w:t xml:space="preserve">treatment prior to discharge or </w:t>
      </w:r>
      <w:r w:rsidRPr="00BE4BD9">
        <w:rPr>
          <w:rFonts w:ascii="Rockwell" w:eastAsia="Times New Roman" w:hAnsi="Rockwell" w:cs="Times New Roman"/>
          <w:sz w:val="24"/>
          <w:szCs w:val="24"/>
        </w:rPr>
        <w:t>evaporation.</w:t>
      </w:r>
    </w:p>
    <w:p w:rsidR="008E29E3" w:rsidRPr="004A76D7" w:rsidRDefault="007169A8" w:rsidP="007169A8">
      <w:pPr>
        <w:pStyle w:val="Heading3"/>
        <w:jc w:val="both"/>
        <w:rPr>
          <w:rFonts w:ascii="Rockwell" w:eastAsia="Times New Roman" w:hAnsi="Rockwell" w:cs="Times New Roman"/>
          <w:b/>
          <w:sz w:val="24"/>
          <w:szCs w:val="24"/>
        </w:rPr>
      </w:pPr>
      <w:bookmarkStart w:id="41" w:name="_Toc209047128"/>
      <w:r>
        <w:rPr>
          <w:rFonts w:ascii="Rockwell" w:eastAsia="Times New Roman" w:hAnsi="Rockwell" w:cs="Times New Roman"/>
          <w:b/>
          <w:sz w:val="24"/>
          <w:szCs w:val="24"/>
        </w:rPr>
        <w:t>g)</w:t>
      </w:r>
      <w:r w:rsidRPr="004A76D7">
        <w:rPr>
          <w:rFonts w:ascii="Rockwell" w:eastAsia="Times New Roman" w:hAnsi="Rockwell" w:cs="Times New Roman"/>
          <w:b/>
          <w:sz w:val="24"/>
          <w:szCs w:val="24"/>
        </w:rPr>
        <w:t xml:space="preserve"> Disused</w:t>
      </w:r>
      <w:r w:rsidR="008E29E3" w:rsidRPr="004A76D7">
        <w:rPr>
          <w:rFonts w:ascii="Rockwell" w:eastAsia="Times New Roman" w:hAnsi="Rockwell" w:cs="Times New Roman"/>
          <w:b/>
          <w:sz w:val="24"/>
          <w:szCs w:val="24"/>
        </w:rPr>
        <w:t xml:space="preserve"> and abandoned mine pits</w:t>
      </w:r>
      <w:bookmarkEnd w:id="41"/>
    </w:p>
    <w:p w:rsidR="00726D1C" w:rsidRPr="00726D1C" w:rsidRDefault="008E29E3" w:rsidP="00726D1C">
      <w:pPr>
        <w:spacing w:before="240" w:after="240"/>
        <w:ind w:left="360"/>
        <w:jc w:val="both"/>
        <w:rPr>
          <w:rFonts w:ascii="Rockwell" w:eastAsia="Times New Roman" w:hAnsi="Rockwell" w:cs="Times New Roman"/>
          <w:sz w:val="24"/>
          <w:szCs w:val="24"/>
        </w:rPr>
      </w:pPr>
      <w:r w:rsidRPr="00726D1C">
        <w:rPr>
          <w:rFonts w:ascii="Rockwell" w:eastAsia="Times New Roman" w:hAnsi="Rockwell" w:cs="Times New Roman"/>
          <w:sz w:val="24"/>
          <w:szCs w:val="24"/>
        </w:rPr>
        <w:t xml:space="preserve">The mine operators </w:t>
      </w:r>
      <w:r w:rsidR="00785869" w:rsidRPr="00726D1C">
        <w:rPr>
          <w:rFonts w:ascii="Rockwell" w:eastAsia="Times New Roman" w:hAnsi="Rockwell" w:cs="Times New Roman"/>
          <w:sz w:val="24"/>
          <w:szCs w:val="24"/>
        </w:rPr>
        <w:t xml:space="preserve">should </w:t>
      </w:r>
      <w:r w:rsidR="00F42D87" w:rsidRPr="00726D1C">
        <w:rPr>
          <w:rFonts w:ascii="Rockwell" w:eastAsia="Times New Roman" w:hAnsi="Rockwell" w:cs="Times New Roman"/>
          <w:sz w:val="24"/>
          <w:szCs w:val="24"/>
        </w:rPr>
        <w:t xml:space="preserve">implement the approved </w:t>
      </w:r>
      <w:r w:rsidR="003D42BE" w:rsidRPr="00726D1C">
        <w:rPr>
          <w:rFonts w:ascii="Rockwell" w:eastAsia="Times New Roman" w:hAnsi="Rockwell" w:cs="Times New Roman"/>
          <w:sz w:val="24"/>
          <w:szCs w:val="24"/>
        </w:rPr>
        <w:t>rehabilitation</w:t>
      </w:r>
      <w:r w:rsidR="00F42D87" w:rsidRPr="00726D1C">
        <w:rPr>
          <w:rFonts w:ascii="Rockwell" w:eastAsia="Times New Roman" w:hAnsi="Rockwell" w:cs="Times New Roman"/>
          <w:sz w:val="24"/>
          <w:szCs w:val="24"/>
        </w:rPr>
        <w:t xml:space="preserve"> plan</w:t>
      </w:r>
      <w:r w:rsidR="005F2761" w:rsidRPr="00726D1C">
        <w:rPr>
          <w:rFonts w:ascii="Rockwell" w:eastAsia="Times New Roman" w:hAnsi="Rockwell" w:cs="Times New Roman"/>
          <w:sz w:val="24"/>
          <w:szCs w:val="24"/>
        </w:rPr>
        <w:t xml:space="preserve"> and as a best practice</w:t>
      </w:r>
      <w:r w:rsidR="00785869" w:rsidRPr="00726D1C">
        <w:rPr>
          <w:rFonts w:ascii="Rockwell" w:eastAsia="Times New Roman" w:hAnsi="Rockwell" w:cs="Times New Roman"/>
          <w:sz w:val="24"/>
          <w:szCs w:val="24"/>
        </w:rPr>
        <w:t xml:space="preserve"> undertake </w:t>
      </w:r>
      <w:r w:rsidR="00DC20A7" w:rsidRPr="00726D1C">
        <w:rPr>
          <w:rFonts w:ascii="Rockwell" w:eastAsia="Times New Roman" w:hAnsi="Rockwell" w:cs="Times New Roman"/>
          <w:sz w:val="24"/>
          <w:szCs w:val="24"/>
        </w:rPr>
        <w:t xml:space="preserve">progressive rehabilitation </w:t>
      </w:r>
      <w:r w:rsidR="00726D1C">
        <w:rPr>
          <w:rFonts w:ascii="Rockwell" w:eastAsia="Times New Roman" w:hAnsi="Rockwell" w:cs="Times New Roman"/>
          <w:sz w:val="24"/>
          <w:szCs w:val="24"/>
        </w:rPr>
        <w:t xml:space="preserve">(where applicable) </w:t>
      </w:r>
      <w:r w:rsidR="00DC20A7" w:rsidRPr="00726D1C">
        <w:rPr>
          <w:rFonts w:ascii="Rockwell" w:eastAsia="Times New Roman" w:hAnsi="Rockwell" w:cs="Times New Roman"/>
          <w:sz w:val="24"/>
          <w:szCs w:val="24"/>
        </w:rPr>
        <w:t>of the exhausted mine pits.</w:t>
      </w:r>
      <w:r w:rsidR="00726D1C" w:rsidRPr="00726D1C">
        <w:rPr>
          <w:rFonts w:ascii="Rockwell" w:eastAsia="Times New Roman" w:hAnsi="Rockwell" w:cs="Times New Roman"/>
          <w:sz w:val="24"/>
          <w:szCs w:val="24"/>
        </w:rPr>
        <w:t xml:space="preserve"> </w:t>
      </w:r>
    </w:p>
    <w:p w:rsidR="00785869" w:rsidRPr="00726D1C" w:rsidRDefault="00DC20A7" w:rsidP="00726D1C">
      <w:pPr>
        <w:spacing w:before="240" w:after="240"/>
        <w:ind w:left="360"/>
        <w:jc w:val="both"/>
        <w:rPr>
          <w:rFonts w:ascii="Rockwell" w:eastAsia="Times New Roman" w:hAnsi="Rockwell" w:cs="Times New Roman"/>
          <w:sz w:val="24"/>
          <w:szCs w:val="24"/>
        </w:rPr>
      </w:pPr>
      <w:r w:rsidRPr="00726D1C">
        <w:rPr>
          <w:rFonts w:ascii="Rockwell" w:eastAsia="Times New Roman" w:hAnsi="Rockwell" w:cs="Times New Roman"/>
          <w:sz w:val="24"/>
          <w:szCs w:val="24"/>
        </w:rPr>
        <w:t>However, in cases of abandoned mines</w:t>
      </w:r>
      <w:r w:rsidR="00785869" w:rsidRPr="00726D1C">
        <w:rPr>
          <w:rFonts w:ascii="Rockwell" w:eastAsia="Times New Roman" w:hAnsi="Rockwell" w:cs="Times New Roman"/>
          <w:sz w:val="24"/>
          <w:szCs w:val="24"/>
        </w:rPr>
        <w:t xml:space="preserve">, </w:t>
      </w:r>
      <w:r w:rsidRPr="00726D1C">
        <w:rPr>
          <w:rFonts w:ascii="Rockwell" w:eastAsia="Times New Roman" w:hAnsi="Rockwell" w:cs="Times New Roman"/>
          <w:sz w:val="24"/>
          <w:szCs w:val="24"/>
        </w:rPr>
        <w:t>t</w:t>
      </w:r>
      <w:r w:rsidR="00F42D87" w:rsidRPr="00726D1C">
        <w:rPr>
          <w:rFonts w:ascii="Rockwell" w:eastAsia="Times New Roman" w:hAnsi="Rockwell" w:cs="Times New Roman"/>
          <w:sz w:val="24"/>
          <w:szCs w:val="24"/>
        </w:rPr>
        <w:t xml:space="preserve">he Government will use the </w:t>
      </w:r>
      <w:r w:rsidRPr="00726D1C">
        <w:rPr>
          <w:rFonts w:ascii="Rockwell" w:eastAsia="Times New Roman" w:hAnsi="Rockwell" w:cs="Times New Roman"/>
          <w:sz w:val="24"/>
          <w:szCs w:val="24"/>
        </w:rPr>
        <w:t xml:space="preserve">environmental </w:t>
      </w:r>
      <w:r w:rsidR="00F42D87" w:rsidRPr="00726D1C">
        <w:rPr>
          <w:rFonts w:ascii="Rockwell" w:eastAsia="Times New Roman" w:hAnsi="Rockwell" w:cs="Times New Roman"/>
          <w:sz w:val="24"/>
          <w:szCs w:val="24"/>
        </w:rPr>
        <w:t>deposit bond</w:t>
      </w:r>
      <w:r w:rsidRPr="00726D1C">
        <w:rPr>
          <w:rFonts w:ascii="Rockwell" w:eastAsia="Times New Roman" w:hAnsi="Rockwell" w:cs="Times New Roman"/>
          <w:sz w:val="24"/>
          <w:szCs w:val="24"/>
        </w:rPr>
        <w:t xml:space="preserve"> </w:t>
      </w:r>
      <w:r w:rsidR="00F42D87" w:rsidRPr="00726D1C">
        <w:rPr>
          <w:rFonts w:ascii="Rockwell" w:eastAsia="Times New Roman" w:hAnsi="Rockwell" w:cs="Times New Roman"/>
          <w:sz w:val="24"/>
          <w:szCs w:val="24"/>
        </w:rPr>
        <w:t xml:space="preserve">to undertake rehabilitation of the </w:t>
      </w:r>
      <w:r w:rsidRPr="00726D1C">
        <w:rPr>
          <w:rFonts w:ascii="Rockwell" w:eastAsia="Times New Roman" w:hAnsi="Rockwell" w:cs="Times New Roman"/>
          <w:sz w:val="24"/>
          <w:szCs w:val="24"/>
        </w:rPr>
        <w:t>sites.</w:t>
      </w:r>
      <w:r w:rsidR="00726D1C" w:rsidRPr="00726D1C">
        <w:rPr>
          <w:rFonts w:ascii="Rockwell" w:eastAsia="Times New Roman" w:hAnsi="Rockwell" w:cs="Times New Roman"/>
          <w:sz w:val="24"/>
          <w:szCs w:val="24"/>
        </w:rPr>
        <w:t xml:space="preserve"> It should be noted that payment of the environmental deposit bond shall not be taken as excuse for not implementing the rehabilitation plan as required. </w:t>
      </w:r>
    </w:p>
    <w:p w:rsidR="008E29E3" w:rsidRPr="004A76D7" w:rsidRDefault="008E29E3" w:rsidP="000E7DFC">
      <w:pPr>
        <w:pStyle w:val="Heading3"/>
        <w:jc w:val="both"/>
        <w:rPr>
          <w:rFonts w:ascii="Rockwell" w:eastAsia="Times New Roman" w:hAnsi="Rockwell" w:cs="Times New Roman"/>
          <w:b/>
          <w:sz w:val="24"/>
          <w:szCs w:val="24"/>
        </w:rPr>
      </w:pPr>
      <w:r w:rsidRPr="004A76D7">
        <w:rPr>
          <w:rFonts w:ascii="Rockwell" w:eastAsia="Times New Roman" w:hAnsi="Rockwell" w:cs="Times New Roman"/>
          <w:sz w:val="24"/>
          <w:szCs w:val="24"/>
        </w:rPr>
        <w:t xml:space="preserve"> </w:t>
      </w:r>
      <w:bookmarkStart w:id="42" w:name="_Toc209047129"/>
      <w:r w:rsidR="007169A8">
        <w:rPr>
          <w:rFonts w:ascii="Rockwell" w:eastAsia="Times New Roman" w:hAnsi="Rockwell" w:cs="Times New Roman"/>
          <w:b/>
          <w:sz w:val="24"/>
          <w:szCs w:val="24"/>
        </w:rPr>
        <w:t xml:space="preserve">h) </w:t>
      </w:r>
      <w:r w:rsidRPr="004A76D7">
        <w:rPr>
          <w:rFonts w:ascii="Rockwell" w:eastAsia="Times New Roman" w:hAnsi="Rockwell" w:cs="Times New Roman"/>
          <w:b/>
          <w:sz w:val="24"/>
          <w:szCs w:val="24"/>
        </w:rPr>
        <w:t>Infrastructure</w:t>
      </w:r>
      <w:bookmarkEnd w:id="42"/>
    </w:p>
    <w:p w:rsidR="008E29E3" w:rsidRPr="00BE4BD9" w:rsidRDefault="008E29E3" w:rsidP="00BE4BD9">
      <w:pPr>
        <w:pStyle w:val="ListParagraph"/>
        <w:numPr>
          <w:ilvl w:val="0"/>
          <w:numId w:val="46"/>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The existing infrastructural facilities available s</w:t>
      </w:r>
      <w:r w:rsidR="003501B1" w:rsidRPr="00BE4BD9">
        <w:rPr>
          <w:rFonts w:ascii="Rockwell" w:eastAsia="Times New Roman" w:hAnsi="Rockwell" w:cs="Times New Roman"/>
          <w:sz w:val="24"/>
          <w:szCs w:val="24"/>
        </w:rPr>
        <w:t xml:space="preserve">uch as roads, aerial rope-ways, </w:t>
      </w:r>
      <w:r w:rsidRPr="00BE4BD9">
        <w:rPr>
          <w:rFonts w:ascii="Rockwell" w:eastAsia="Times New Roman" w:hAnsi="Rockwell" w:cs="Times New Roman"/>
          <w:sz w:val="24"/>
          <w:szCs w:val="24"/>
        </w:rPr>
        <w:t>conveyor belts, railw</w:t>
      </w:r>
      <w:r w:rsidR="00CE2077" w:rsidRPr="00BE4BD9">
        <w:rPr>
          <w:rFonts w:ascii="Rockwell" w:eastAsia="Times New Roman" w:hAnsi="Rockwell" w:cs="Times New Roman"/>
          <w:sz w:val="24"/>
          <w:szCs w:val="24"/>
        </w:rPr>
        <w:t>ays, power lines, buildings &amp;</w:t>
      </w:r>
      <w:r w:rsidRPr="00BE4BD9">
        <w:rPr>
          <w:rFonts w:ascii="Rockwell" w:eastAsia="Times New Roman" w:hAnsi="Rockwell" w:cs="Times New Roman"/>
          <w:sz w:val="24"/>
          <w:szCs w:val="24"/>
        </w:rPr>
        <w:t xml:space="preserve"> structures, water treatment plant,</w:t>
      </w:r>
      <w:r w:rsidR="003501B1" w:rsidRPr="00BE4BD9">
        <w:rPr>
          <w:rFonts w:ascii="Rockwell" w:eastAsia="Times New Roman" w:hAnsi="Rockwell" w:cs="Times New Roman"/>
          <w:sz w:val="24"/>
          <w:szCs w:val="24"/>
        </w:rPr>
        <w:t xml:space="preserve"> </w:t>
      </w:r>
      <w:r w:rsidRPr="00BE4BD9">
        <w:rPr>
          <w:rFonts w:ascii="Rockwell" w:eastAsia="Times New Roman" w:hAnsi="Rockwell" w:cs="Times New Roman"/>
          <w:sz w:val="24"/>
          <w:szCs w:val="24"/>
        </w:rPr>
        <w:t>transport, water supply sources in the area among others and their future utilization</w:t>
      </w:r>
      <w:r w:rsidR="003501B1" w:rsidRPr="00BE4BD9">
        <w:rPr>
          <w:rFonts w:ascii="Rockwell" w:eastAsia="Times New Roman" w:hAnsi="Rockwell" w:cs="Times New Roman"/>
          <w:sz w:val="24"/>
          <w:szCs w:val="24"/>
        </w:rPr>
        <w:t xml:space="preserve"> </w:t>
      </w:r>
      <w:r w:rsidRPr="00BE4BD9">
        <w:rPr>
          <w:rFonts w:ascii="Rockwell" w:eastAsia="Times New Roman" w:hAnsi="Rockwell" w:cs="Times New Roman"/>
          <w:sz w:val="24"/>
          <w:szCs w:val="24"/>
        </w:rPr>
        <w:t>should be evaluated on a case by case basis.</w:t>
      </w:r>
    </w:p>
    <w:p w:rsidR="00BE4BD9" w:rsidRDefault="008E29E3" w:rsidP="00BE4BD9">
      <w:pPr>
        <w:pStyle w:val="ListParagraph"/>
        <w:numPr>
          <w:ilvl w:val="0"/>
          <w:numId w:val="46"/>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If retained, the measures to be taken for their physical stability and maintenance</w:t>
      </w:r>
      <w:r w:rsidR="003501B1" w:rsidRPr="00BE4BD9">
        <w:rPr>
          <w:rFonts w:ascii="Rockwell" w:eastAsia="Times New Roman" w:hAnsi="Rockwell" w:cs="Times New Roman"/>
          <w:sz w:val="24"/>
          <w:szCs w:val="24"/>
        </w:rPr>
        <w:t xml:space="preserve"> </w:t>
      </w:r>
      <w:r w:rsidRPr="00BE4BD9">
        <w:rPr>
          <w:rFonts w:ascii="Rockwell" w:eastAsia="Times New Roman" w:hAnsi="Rockwell" w:cs="Times New Roman"/>
          <w:sz w:val="24"/>
          <w:szCs w:val="24"/>
        </w:rPr>
        <w:t>should be described.</w:t>
      </w:r>
    </w:p>
    <w:p w:rsidR="008E29E3" w:rsidRPr="00BE4BD9" w:rsidRDefault="008E29E3" w:rsidP="00BE4BD9">
      <w:pPr>
        <w:pStyle w:val="ListParagraph"/>
        <w:numPr>
          <w:ilvl w:val="0"/>
          <w:numId w:val="46"/>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If decommissioning proposed, dismantling and disposal of building structures,</w:t>
      </w:r>
      <w:r w:rsidR="003501B1" w:rsidRPr="00BE4BD9">
        <w:rPr>
          <w:rFonts w:ascii="Rockwell" w:eastAsia="Times New Roman" w:hAnsi="Rockwell" w:cs="Times New Roman"/>
          <w:sz w:val="24"/>
          <w:szCs w:val="24"/>
        </w:rPr>
        <w:t xml:space="preserve"> </w:t>
      </w:r>
      <w:r w:rsidRPr="00BE4BD9">
        <w:rPr>
          <w:rFonts w:ascii="Rockwell" w:eastAsia="Times New Roman" w:hAnsi="Rockwell" w:cs="Times New Roman"/>
          <w:sz w:val="24"/>
          <w:szCs w:val="24"/>
        </w:rPr>
        <w:t>support facilities and other infrastructure like electric transmission line, water line,</w:t>
      </w:r>
      <w:r w:rsidR="003501B1" w:rsidRPr="00BE4BD9">
        <w:rPr>
          <w:rFonts w:ascii="Rockwell" w:eastAsia="Times New Roman" w:hAnsi="Rockwell" w:cs="Times New Roman"/>
          <w:sz w:val="24"/>
          <w:szCs w:val="24"/>
        </w:rPr>
        <w:t xml:space="preserve"> </w:t>
      </w:r>
      <w:r w:rsidRPr="00BE4BD9">
        <w:rPr>
          <w:rFonts w:ascii="Rockwell" w:eastAsia="Times New Roman" w:hAnsi="Rockwell" w:cs="Times New Roman"/>
          <w:sz w:val="24"/>
          <w:szCs w:val="24"/>
        </w:rPr>
        <w:t>gas pipeline, water works, sewer line, telephone cables, underground tanks,</w:t>
      </w:r>
      <w:r w:rsidR="003501B1" w:rsidRPr="00BE4BD9">
        <w:rPr>
          <w:rFonts w:ascii="Rockwell" w:eastAsia="Times New Roman" w:hAnsi="Rockwell" w:cs="Times New Roman"/>
          <w:sz w:val="24"/>
          <w:szCs w:val="24"/>
        </w:rPr>
        <w:t xml:space="preserve"> </w:t>
      </w:r>
      <w:r w:rsidRPr="00BE4BD9">
        <w:rPr>
          <w:rFonts w:ascii="Rockwell" w:eastAsia="Times New Roman" w:hAnsi="Rockwell" w:cs="Times New Roman"/>
          <w:sz w:val="24"/>
          <w:szCs w:val="24"/>
        </w:rPr>
        <w:t xml:space="preserve">transportation infrastructure like roads, rails, bridges, </w:t>
      </w:r>
      <w:r w:rsidR="00DC20A7" w:rsidRPr="00BE4BD9">
        <w:rPr>
          <w:rFonts w:ascii="Rockwell" w:eastAsia="Times New Roman" w:hAnsi="Rockwell" w:cs="Times New Roman"/>
          <w:sz w:val="24"/>
          <w:szCs w:val="24"/>
        </w:rPr>
        <w:t>culverts, electrical equipment</w:t>
      </w:r>
      <w:r w:rsidR="003501B1" w:rsidRPr="00BE4BD9">
        <w:rPr>
          <w:rFonts w:ascii="Rockwell" w:eastAsia="Times New Roman" w:hAnsi="Rockwell" w:cs="Times New Roman"/>
          <w:sz w:val="24"/>
          <w:szCs w:val="24"/>
        </w:rPr>
        <w:t xml:space="preserve"> </w:t>
      </w:r>
      <w:r w:rsidRPr="00BE4BD9">
        <w:rPr>
          <w:rFonts w:ascii="Rockwell" w:eastAsia="Times New Roman" w:hAnsi="Rockwell" w:cs="Times New Roman"/>
          <w:sz w:val="24"/>
          <w:szCs w:val="24"/>
        </w:rPr>
        <w:t>and infrastructures like electric cables, transformers</w:t>
      </w:r>
      <w:r w:rsidR="003501B1" w:rsidRPr="00BE4BD9">
        <w:rPr>
          <w:rFonts w:ascii="Rockwell" w:eastAsia="Times New Roman" w:hAnsi="Rockwell" w:cs="Times New Roman"/>
          <w:sz w:val="24"/>
          <w:szCs w:val="24"/>
        </w:rPr>
        <w:t xml:space="preserve"> to be described in connection </w:t>
      </w:r>
      <w:r w:rsidRPr="00BE4BD9">
        <w:rPr>
          <w:rFonts w:ascii="Rockwell" w:eastAsia="Times New Roman" w:hAnsi="Rockwell" w:cs="Times New Roman"/>
          <w:sz w:val="24"/>
          <w:szCs w:val="24"/>
        </w:rPr>
        <w:t>with restoring land for further use.</w:t>
      </w:r>
    </w:p>
    <w:p w:rsidR="008E29E3" w:rsidRPr="004A76D7" w:rsidRDefault="008E29E3" w:rsidP="000E7DFC">
      <w:pPr>
        <w:pStyle w:val="Heading3"/>
        <w:jc w:val="both"/>
        <w:rPr>
          <w:rFonts w:ascii="Rockwell" w:eastAsia="Times New Roman" w:hAnsi="Rockwell" w:cs="Times New Roman"/>
          <w:b/>
          <w:sz w:val="24"/>
          <w:szCs w:val="24"/>
        </w:rPr>
      </w:pPr>
      <w:r w:rsidRPr="004A76D7">
        <w:rPr>
          <w:rFonts w:ascii="Rockwell" w:eastAsia="Times New Roman" w:hAnsi="Rockwell" w:cs="Times New Roman"/>
          <w:sz w:val="24"/>
          <w:szCs w:val="24"/>
        </w:rPr>
        <w:lastRenderedPageBreak/>
        <w:t xml:space="preserve"> </w:t>
      </w:r>
      <w:bookmarkStart w:id="43" w:name="_Toc209047130"/>
      <w:proofErr w:type="spellStart"/>
      <w:r w:rsidR="00DC20A7">
        <w:rPr>
          <w:rFonts w:ascii="Rockwell" w:eastAsia="Times New Roman" w:hAnsi="Rockwell" w:cs="Times New Roman"/>
          <w:b/>
          <w:sz w:val="24"/>
          <w:szCs w:val="24"/>
        </w:rPr>
        <w:t>i</w:t>
      </w:r>
      <w:proofErr w:type="spellEnd"/>
      <w:r w:rsidR="00DC20A7">
        <w:rPr>
          <w:rFonts w:ascii="Rockwell" w:eastAsia="Times New Roman" w:hAnsi="Rockwell" w:cs="Times New Roman"/>
          <w:b/>
          <w:sz w:val="24"/>
          <w:szCs w:val="24"/>
        </w:rPr>
        <w:t xml:space="preserve">) </w:t>
      </w:r>
      <w:r w:rsidRPr="004A76D7">
        <w:rPr>
          <w:rFonts w:ascii="Rockwell" w:eastAsia="Times New Roman" w:hAnsi="Rockwell" w:cs="Times New Roman"/>
          <w:b/>
          <w:sz w:val="24"/>
          <w:szCs w:val="24"/>
        </w:rPr>
        <w:t>Disposal of Mining Machinery and Equipment</w:t>
      </w:r>
      <w:bookmarkEnd w:id="43"/>
    </w:p>
    <w:p w:rsidR="008E29E3" w:rsidRPr="00BE4BD9" w:rsidRDefault="008E29E3" w:rsidP="00BE4BD9">
      <w:pPr>
        <w:pStyle w:val="ListParagraph"/>
        <w:numPr>
          <w:ilvl w:val="0"/>
          <w:numId w:val="47"/>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The decommissioning of mining machineries and their possible post mining utilization and disposal options, if any, to be described.</w:t>
      </w:r>
    </w:p>
    <w:p w:rsidR="008E29E3" w:rsidRPr="00BE4BD9" w:rsidRDefault="008E29E3" w:rsidP="00BE4BD9">
      <w:pPr>
        <w:pStyle w:val="ListParagraph"/>
        <w:numPr>
          <w:ilvl w:val="0"/>
          <w:numId w:val="47"/>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The closure plan must consider how rehabilitation work</w:t>
      </w:r>
      <w:r w:rsidR="003501B1" w:rsidRPr="00BE4BD9">
        <w:rPr>
          <w:rFonts w:ascii="Rockwell" w:eastAsia="Times New Roman" w:hAnsi="Rockwell" w:cs="Times New Roman"/>
          <w:sz w:val="24"/>
          <w:szCs w:val="24"/>
        </w:rPr>
        <w:t xml:space="preserve">s will be carried out if mining </w:t>
      </w:r>
      <w:r w:rsidRPr="00BE4BD9">
        <w:rPr>
          <w:rFonts w:ascii="Rockwell" w:eastAsia="Times New Roman" w:hAnsi="Rockwell" w:cs="Times New Roman"/>
          <w:sz w:val="24"/>
          <w:szCs w:val="24"/>
        </w:rPr>
        <w:t>machinery is unavailable at the time of rehabilitation and closure.</w:t>
      </w:r>
    </w:p>
    <w:p w:rsidR="00BE4BD9" w:rsidRDefault="008E29E3" w:rsidP="00BE4BD9">
      <w:pPr>
        <w:pStyle w:val="ListParagraph"/>
        <w:numPr>
          <w:ilvl w:val="0"/>
          <w:numId w:val="47"/>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Closure costs should include machine rental</w:t>
      </w:r>
      <w:r w:rsidR="003501B1" w:rsidRPr="00BE4BD9">
        <w:rPr>
          <w:rFonts w:ascii="Rockwell" w:eastAsia="Times New Roman" w:hAnsi="Rockwell" w:cs="Times New Roman"/>
          <w:sz w:val="24"/>
          <w:szCs w:val="24"/>
        </w:rPr>
        <w:t xml:space="preserve"> costs and costs of manpower on </w:t>
      </w:r>
      <w:r w:rsidRPr="00BE4BD9">
        <w:rPr>
          <w:rFonts w:ascii="Rockwell" w:eastAsia="Times New Roman" w:hAnsi="Rockwell" w:cs="Times New Roman"/>
          <w:sz w:val="24"/>
          <w:szCs w:val="24"/>
        </w:rPr>
        <w:t>a</w:t>
      </w:r>
      <w:r w:rsidR="003501B1" w:rsidRPr="00BE4BD9">
        <w:rPr>
          <w:rFonts w:ascii="Rockwell" w:eastAsia="Times New Roman" w:hAnsi="Rockwell" w:cs="Times New Roman"/>
          <w:sz w:val="24"/>
          <w:szCs w:val="24"/>
        </w:rPr>
        <w:t xml:space="preserve"> </w:t>
      </w:r>
      <w:r w:rsidRPr="00BE4BD9">
        <w:rPr>
          <w:rFonts w:ascii="Rockwell" w:eastAsia="Times New Roman" w:hAnsi="Rockwell" w:cs="Times New Roman"/>
          <w:sz w:val="24"/>
          <w:szCs w:val="24"/>
        </w:rPr>
        <w:t>normal commercial contractor basis.</w:t>
      </w:r>
    </w:p>
    <w:p w:rsidR="008E29E3" w:rsidRPr="00BE4BD9" w:rsidRDefault="008E29E3" w:rsidP="00BE4BD9">
      <w:pPr>
        <w:pStyle w:val="ListParagraph"/>
        <w:numPr>
          <w:ilvl w:val="0"/>
          <w:numId w:val="47"/>
        </w:numPr>
        <w:spacing w:before="240" w:after="240"/>
        <w:jc w:val="both"/>
        <w:rPr>
          <w:rFonts w:ascii="Rockwell" w:eastAsia="Times New Roman" w:hAnsi="Rockwell" w:cs="Times New Roman"/>
          <w:sz w:val="24"/>
          <w:szCs w:val="24"/>
        </w:rPr>
      </w:pPr>
      <w:r w:rsidRPr="00BE4BD9">
        <w:rPr>
          <w:rFonts w:ascii="Rockwell" w:eastAsia="Times New Roman" w:hAnsi="Rockwell" w:cs="Times New Roman"/>
          <w:sz w:val="24"/>
          <w:szCs w:val="24"/>
        </w:rPr>
        <w:t>Dismantling, segregation, reuse, recovery, rec</w:t>
      </w:r>
      <w:r w:rsidR="003501B1" w:rsidRPr="00BE4BD9">
        <w:rPr>
          <w:rFonts w:ascii="Rockwell" w:eastAsia="Times New Roman" w:hAnsi="Rockwell" w:cs="Times New Roman"/>
          <w:sz w:val="24"/>
          <w:szCs w:val="24"/>
        </w:rPr>
        <w:t xml:space="preserve">ycling and final disposal to be </w:t>
      </w:r>
      <w:r w:rsidRPr="00BE4BD9">
        <w:rPr>
          <w:rFonts w:ascii="Rockwell" w:eastAsia="Times New Roman" w:hAnsi="Rockwell" w:cs="Times New Roman"/>
          <w:sz w:val="24"/>
          <w:szCs w:val="24"/>
        </w:rPr>
        <w:t>described.</w:t>
      </w:r>
    </w:p>
    <w:p w:rsidR="008E29E3" w:rsidRPr="004A76D7" w:rsidRDefault="00DC20A7" w:rsidP="000E7DFC">
      <w:pPr>
        <w:pStyle w:val="Heading3"/>
        <w:jc w:val="both"/>
        <w:rPr>
          <w:rFonts w:ascii="Rockwell" w:eastAsia="Times New Roman" w:hAnsi="Rockwell" w:cs="Times New Roman"/>
          <w:b/>
          <w:sz w:val="24"/>
          <w:szCs w:val="24"/>
        </w:rPr>
      </w:pPr>
      <w:bookmarkStart w:id="44" w:name="_Toc209047131"/>
      <w:r>
        <w:rPr>
          <w:rFonts w:ascii="Rockwell" w:eastAsia="Times New Roman" w:hAnsi="Rockwell" w:cs="Times New Roman"/>
          <w:b/>
          <w:sz w:val="24"/>
          <w:szCs w:val="24"/>
        </w:rPr>
        <w:t xml:space="preserve">j) </w:t>
      </w:r>
      <w:r w:rsidR="008E29E3" w:rsidRPr="004A76D7">
        <w:rPr>
          <w:rFonts w:ascii="Rockwell" w:eastAsia="Times New Roman" w:hAnsi="Rockwell" w:cs="Times New Roman"/>
          <w:b/>
          <w:sz w:val="24"/>
          <w:szCs w:val="24"/>
        </w:rPr>
        <w:t>Safety and Security</w:t>
      </w:r>
      <w:bookmarkEnd w:id="44"/>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w:t>
      </w:r>
      <w:proofErr w:type="spellStart"/>
      <w:r w:rsidRPr="004A76D7">
        <w:rPr>
          <w:rFonts w:ascii="Rockwell" w:eastAsia="Times New Roman" w:hAnsi="Rockwell" w:cs="Times New Roman"/>
          <w:sz w:val="24"/>
          <w:szCs w:val="24"/>
        </w:rPr>
        <w:t>i</w:t>
      </w:r>
      <w:proofErr w:type="spellEnd"/>
      <w:r w:rsidRPr="004A76D7">
        <w:rPr>
          <w:rFonts w:ascii="Rockwell" w:eastAsia="Times New Roman" w:hAnsi="Rockwell" w:cs="Times New Roman"/>
          <w:sz w:val="24"/>
          <w:szCs w:val="24"/>
        </w:rPr>
        <w:t>). Explain the safety measures implemented to prev</w:t>
      </w:r>
      <w:r w:rsidR="003501B1" w:rsidRPr="004A76D7">
        <w:rPr>
          <w:rFonts w:ascii="Rockwell" w:eastAsia="Times New Roman" w:hAnsi="Rockwell" w:cs="Times New Roman"/>
          <w:sz w:val="24"/>
          <w:szCs w:val="24"/>
        </w:rPr>
        <w:t xml:space="preserve">ent access to surface openings, </w:t>
      </w:r>
      <w:r w:rsidRPr="004A76D7">
        <w:rPr>
          <w:rFonts w:ascii="Rockwell" w:eastAsia="Times New Roman" w:hAnsi="Rockwell" w:cs="Times New Roman"/>
          <w:sz w:val="24"/>
          <w:szCs w:val="24"/>
        </w:rPr>
        <w:t xml:space="preserve">excavations and arrangements proposed during </w:t>
      </w:r>
      <w:r w:rsidR="003501B1" w:rsidRPr="004A76D7">
        <w:rPr>
          <w:rFonts w:ascii="Rockwell" w:eastAsia="Times New Roman" w:hAnsi="Rockwell" w:cs="Times New Roman"/>
          <w:sz w:val="24"/>
          <w:szCs w:val="24"/>
        </w:rPr>
        <w:t xml:space="preserve">the mine decommissioning before </w:t>
      </w:r>
      <w:r w:rsidRPr="004A76D7">
        <w:rPr>
          <w:rFonts w:ascii="Rockwell" w:eastAsia="Times New Roman" w:hAnsi="Rockwell" w:cs="Times New Roman"/>
          <w:sz w:val="24"/>
          <w:szCs w:val="24"/>
        </w:rPr>
        <w:t>the site is subjected to a compatible after-use plan.</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(ii). Occupational safety and health requirements should be observed</w:t>
      </w:r>
      <w:r w:rsidR="00DC20A7">
        <w:rPr>
          <w:rFonts w:ascii="Rockwell" w:eastAsia="Times New Roman" w:hAnsi="Rockwell" w:cs="Times New Roman"/>
          <w:sz w:val="24"/>
          <w:szCs w:val="24"/>
        </w:rPr>
        <w:t xml:space="preserve"> in compliance with Occupational Safety and Health Act, 2007</w:t>
      </w:r>
      <w:r w:rsidR="00434583">
        <w:rPr>
          <w:rFonts w:ascii="Rockwell" w:eastAsia="Times New Roman" w:hAnsi="Rockwell" w:cs="Times New Roman"/>
          <w:sz w:val="24"/>
          <w:szCs w:val="24"/>
        </w:rPr>
        <w:t>,</w:t>
      </w:r>
      <w:r w:rsidR="00DC20A7">
        <w:rPr>
          <w:rFonts w:ascii="Rockwell" w:eastAsia="Times New Roman" w:hAnsi="Rockwell" w:cs="Times New Roman"/>
          <w:sz w:val="24"/>
          <w:szCs w:val="24"/>
        </w:rPr>
        <w:t xml:space="preserve"> the subsidiary legislations</w:t>
      </w:r>
      <w:r w:rsidR="00434583">
        <w:rPr>
          <w:rFonts w:ascii="Rockwell" w:eastAsia="Times New Roman" w:hAnsi="Rockwell" w:cs="Times New Roman"/>
          <w:sz w:val="24"/>
          <w:szCs w:val="24"/>
        </w:rPr>
        <w:t xml:space="preserve"> and the Work Injury Benefits Act, 2007</w:t>
      </w:r>
      <w:r w:rsidR="00DC20A7">
        <w:rPr>
          <w:rFonts w:ascii="Rockwell" w:eastAsia="Times New Roman" w:hAnsi="Rockwell" w:cs="Times New Roman"/>
          <w:sz w:val="24"/>
          <w:szCs w:val="24"/>
        </w:rPr>
        <w:t xml:space="preserve">. </w:t>
      </w:r>
    </w:p>
    <w:p w:rsidR="008E29E3" w:rsidRPr="004A76D7" w:rsidRDefault="008E29E3" w:rsidP="000E7DFC">
      <w:pPr>
        <w:pStyle w:val="Heading3"/>
        <w:jc w:val="both"/>
        <w:rPr>
          <w:rFonts w:ascii="Rockwell" w:eastAsia="Times New Roman" w:hAnsi="Rockwell" w:cs="Times New Roman"/>
          <w:b/>
          <w:sz w:val="24"/>
          <w:szCs w:val="24"/>
        </w:rPr>
      </w:pPr>
      <w:r w:rsidRPr="004A76D7">
        <w:rPr>
          <w:rFonts w:ascii="Rockwell" w:eastAsia="Times New Roman" w:hAnsi="Rockwell" w:cs="Times New Roman"/>
          <w:sz w:val="24"/>
          <w:szCs w:val="24"/>
        </w:rPr>
        <w:t xml:space="preserve"> </w:t>
      </w:r>
      <w:bookmarkStart w:id="45" w:name="_Toc209047132"/>
      <w:r w:rsidR="00DC20A7">
        <w:rPr>
          <w:rFonts w:ascii="Rockwell" w:eastAsia="Times New Roman" w:hAnsi="Rockwell" w:cs="Times New Roman"/>
          <w:b/>
          <w:sz w:val="24"/>
          <w:szCs w:val="24"/>
        </w:rPr>
        <w:t>k)</w:t>
      </w:r>
      <w:r w:rsidRPr="004A76D7">
        <w:rPr>
          <w:rFonts w:ascii="Rockwell" w:eastAsia="Times New Roman" w:hAnsi="Rockwell" w:cs="Times New Roman"/>
          <w:b/>
          <w:sz w:val="24"/>
          <w:szCs w:val="24"/>
        </w:rPr>
        <w:t xml:space="preserve"> Disaster Management and Risk Assessment</w:t>
      </w:r>
      <w:bookmarkEnd w:id="45"/>
    </w:p>
    <w:p w:rsidR="00434583"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w:t>
      </w:r>
      <w:proofErr w:type="spellStart"/>
      <w:r w:rsidRPr="004A76D7">
        <w:rPr>
          <w:rFonts w:ascii="Rockwell" w:eastAsia="Times New Roman" w:hAnsi="Rockwell" w:cs="Times New Roman"/>
          <w:sz w:val="24"/>
          <w:szCs w:val="24"/>
        </w:rPr>
        <w:t>i</w:t>
      </w:r>
      <w:proofErr w:type="spellEnd"/>
      <w:r w:rsidRPr="004A76D7">
        <w:rPr>
          <w:rFonts w:ascii="Rockwell" w:eastAsia="Times New Roman" w:hAnsi="Rockwell" w:cs="Times New Roman"/>
          <w:sz w:val="24"/>
          <w:szCs w:val="24"/>
        </w:rPr>
        <w:t xml:space="preserve">). </w:t>
      </w:r>
      <w:r w:rsidR="00434583">
        <w:rPr>
          <w:rFonts w:ascii="Rockwell" w:eastAsia="Times New Roman" w:hAnsi="Rockwell" w:cs="Times New Roman"/>
          <w:sz w:val="24"/>
          <w:szCs w:val="24"/>
        </w:rPr>
        <w:t>An Emergency Plan should be developed to address and recover from unexpected events like natural disasters or accidents focusing on prevention, mitigation, preparedness, response and recovery.</w:t>
      </w:r>
    </w:p>
    <w:p w:rsidR="008E29E3" w:rsidRPr="004A76D7" w:rsidRDefault="00434583" w:rsidP="000E7DFC">
      <w:pPr>
        <w:spacing w:before="240" w:after="240"/>
        <w:ind w:left="360"/>
        <w:jc w:val="both"/>
        <w:rPr>
          <w:rFonts w:ascii="Rockwell" w:eastAsia="Times New Roman" w:hAnsi="Rockwell" w:cs="Times New Roman"/>
          <w:sz w:val="24"/>
          <w:szCs w:val="24"/>
        </w:rPr>
      </w:pPr>
      <w:r>
        <w:rPr>
          <w:rFonts w:ascii="Rockwell" w:eastAsia="Times New Roman" w:hAnsi="Rockwell" w:cs="Times New Roman"/>
          <w:sz w:val="24"/>
          <w:szCs w:val="24"/>
        </w:rPr>
        <w:t>(ii).</w:t>
      </w:r>
      <w:r w:rsidRPr="004A76D7">
        <w:rPr>
          <w:rFonts w:ascii="Rockwell" w:eastAsia="Times New Roman" w:hAnsi="Rockwell" w:cs="Times New Roman"/>
          <w:sz w:val="24"/>
          <w:szCs w:val="24"/>
        </w:rPr>
        <w:t xml:space="preserve"> This</w:t>
      </w:r>
      <w:r w:rsidR="008E29E3" w:rsidRPr="004A76D7">
        <w:rPr>
          <w:rFonts w:ascii="Rockwell" w:eastAsia="Times New Roman" w:hAnsi="Rockwell" w:cs="Times New Roman"/>
          <w:sz w:val="24"/>
          <w:szCs w:val="24"/>
        </w:rPr>
        <w:t xml:space="preserve"> should deal with action plan for high risk accide</w:t>
      </w:r>
      <w:r w:rsidR="003501B1" w:rsidRPr="004A76D7">
        <w:rPr>
          <w:rFonts w:ascii="Rockwell" w:eastAsia="Times New Roman" w:hAnsi="Rockwell" w:cs="Times New Roman"/>
          <w:sz w:val="24"/>
          <w:szCs w:val="24"/>
        </w:rPr>
        <w:t xml:space="preserve">nts like landslides, subsidence </w:t>
      </w:r>
      <w:r w:rsidR="008E29E3" w:rsidRPr="004A76D7">
        <w:rPr>
          <w:rFonts w:ascii="Rockwell" w:eastAsia="Times New Roman" w:hAnsi="Rockwell" w:cs="Times New Roman"/>
          <w:sz w:val="24"/>
          <w:szCs w:val="24"/>
        </w:rPr>
        <w:t xml:space="preserve">flood, inundation in underground mines, fire, seismic </w:t>
      </w:r>
      <w:r w:rsidR="003501B1" w:rsidRPr="004A76D7">
        <w:rPr>
          <w:rFonts w:ascii="Rockwell" w:eastAsia="Times New Roman" w:hAnsi="Rockwell" w:cs="Times New Roman"/>
          <w:sz w:val="24"/>
          <w:szCs w:val="24"/>
        </w:rPr>
        <w:t xml:space="preserve">activities, tailing dam failure </w:t>
      </w:r>
      <w:r w:rsidR="008E29E3" w:rsidRPr="004A76D7">
        <w:rPr>
          <w:rFonts w:ascii="Rockwell" w:eastAsia="Times New Roman" w:hAnsi="Rockwell" w:cs="Times New Roman"/>
          <w:sz w:val="24"/>
          <w:szCs w:val="24"/>
        </w:rPr>
        <w:t xml:space="preserve">and emergency plan proposed for quick evacuation </w:t>
      </w:r>
      <w:r w:rsidR="003501B1" w:rsidRPr="004A76D7">
        <w:rPr>
          <w:rFonts w:ascii="Rockwell" w:eastAsia="Times New Roman" w:hAnsi="Rockwell" w:cs="Times New Roman"/>
          <w:sz w:val="24"/>
          <w:szCs w:val="24"/>
        </w:rPr>
        <w:t xml:space="preserve">and ameliorative measures to be </w:t>
      </w:r>
      <w:r w:rsidR="008E29E3" w:rsidRPr="004A76D7">
        <w:rPr>
          <w:rFonts w:ascii="Rockwell" w:eastAsia="Times New Roman" w:hAnsi="Rockwell" w:cs="Times New Roman"/>
          <w:sz w:val="24"/>
          <w:szCs w:val="24"/>
        </w:rPr>
        <w:t>taken.</w:t>
      </w:r>
    </w:p>
    <w:p w:rsidR="008E29E3"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(ii</w:t>
      </w:r>
      <w:r w:rsidR="00434583">
        <w:rPr>
          <w:rFonts w:ascii="Rockwell" w:eastAsia="Times New Roman" w:hAnsi="Rockwell" w:cs="Times New Roman"/>
          <w:sz w:val="24"/>
          <w:szCs w:val="24"/>
        </w:rPr>
        <w:t>i</w:t>
      </w:r>
      <w:r w:rsidRPr="004A76D7">
        <w:rPr>
          <w:rFonts w:ascii="Rockwell" w:eastAsia="Times New Roman" w:hAnsi="Rockwell" w:cs="Times New Roman"/>
          <w:sz w:val="24"/>
          <w:szCs w:val="24"/>
        </w:rPr>
        <w:t xml:space="preserve">).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capability of the mine owner and operator to </w:t>
      </w:r>
      <w:r w:rsidR="003501B1" w:rsidRPr="004A76D7">
        <w:rPr>
          <w:rFonts w:ascii="Rockwell" w:eastAsia="Times New Roman" w:hAnsi="Rockwell" w:cs="Times New Roman"/>
          <w:sz w:val="24"/>
          <w:szCs w:val="24"/>
        </w:rPr>
        <w:t xml:space="preserve">meet such eventualities and the </w:t>
      </w:r>
      <w:r w:rsidRPr="004A76D7">
        <w:rPr>
          <w:rFonts w:ascii="Rockwell" w:eastAsia="Times New Roman" w:hAnsi="Rockwell" w:cs="Times New Roman"/>
          <w:sz w:val="24"/>
          <w:szCs w:val="24"/>
        </w:rPr>
        <w:t>assistance to be required from the National and Co</w:t>
      </w:r>
      <w:r w:rsidR="003501B1" w:rsidRPr="004A76D7">
        <w:rPr>
          <w:rFonts w:ascii="Rockwell" w:eastAsia="Times New Roman" w:hAnsi="Rockwell" w:cs="Times New Roman"/>
          <w:sz w:val="24"/>
          <w:szCs w:val="24"/>
        </w:rPr>
        <w:t xml:space="preserve">unty Governments should also be </w:t>
      </w:r>
      <w:r w:rsidRPr="004A76D7">
        <w:rPr>
          <w:rFonts w:ascii="Rockwell" w:eastAsia="Times New Roman" w:hAnsi="Rockwell" w:cs="Times New Roman"/>
          <w:sz w:val="24"/>
          <w:szCs w:val="24"/>
        </w:rPr>
        <w:t>described.</w:t>
      </w:r>
    </w:p>
    <w:p w:rsidR="00A63901" w:rsidRPr="004A76D7" w:rsidRDefault="00A63901" w:rsidP="000E7DFC">
      <w:pPr>
        <w:spacing w:before="240" w:after="240"/>
        <w:ind w:left="360"/>
        <w:jc w:val="both"/>
        <w:rPr>
          <w:rFonts w:ascii="Rockwell" w:eastAsia="Times New Roman" w:hAnsi="Rockwell" w:cs="Times New Roman"/>
          <w:sz w:val="24"/>
          <w:szCs w:val="24"/>
        </w:rPr>
      </w:pPr>
      <w:r w:rsidRPr="008B435F">
        <w:rPr>
          <w:rFonts w:ascii="Rockwell" w:eastAsia="Times New Roman" w:hAnsi="Rockwell" w:cs="Times New Roman"/>
          <w:sz w:val="24"/>
          <w:szCs w:val="24"/>
        </w:rPr>
        <w:t xml:space="preserve">(iv). </w:t>
      </w:r>
      <w:proofErr w:type="gramStart"/>
      <w:r w:rsidR="008B435F" w:rsidRPr="008B435F">
        <w:rPr>
          <w:rFonts w:ascii="Rockwell" w:eastAsia="Times New Roman" w:hAnsi="Rockwell" w:cs="Times New Roman"/>
          <w:sz w:val="24"/>
          <w:szCs w:val="24"/>
        </w:rPr>
        <w:t>The</w:t>
      </w:r>
      <w:proofErr w:type="gramEnd"/>
      <w:r w:rsidR="008B435F" w:rsidRPr="008B435F">
        <w:rPr>
          <w:rFonts w:ascii="Rockwell" w:eastAsia="Times New Roman" w:hAnsi="Rockwell" w:cs="Times New Roman"/>
          <w:sz w:val="24"/>
          <w:szCs w:val="24"/>
        </w:rPr>
        <w:t xml:space="preserve"> operator should use a Human Rights Based Approach to d</w:t>
      </w:r>
      <w:r w:rsidRPr="008B435F">
        <w:rPr>
          <w:rFonts w:ascii="Rockwell" w:eastAsia="Times New Roman" w:hAnsi="Rockwell" w:cs="Times New Roman"/>
          <w:sz w:val="24"/>
          <w:szCs w:val="24"/>
        </w:rPr>
        <w:t xml:space="preserve">evelop </w:t>
      </w:r>
      <w:r w:rsidR="008B435F" w:rsidRPr="008B435F">
        <w:rPr>
          <w:rFonts w:ascii="Rockwell" w:eastAsia="Times New Roman" w:hAnsi="Rockwell" w:cs="Times New Roman"/>
          <w:sz w:val="24"/>
          <w:szCs w:val="24"/>
        </w:rPr>
        <w:t xml:space="preserve">emergency plan. This will help in mapping out the PAPs including the vulnerable groups and individuals to ensure minimum impacts in case of disasters and emergencies. </w:t>
      </w:r>
    </w:p>
    <w:p w:rsidR="008E29E3" w:rsidRPr="004A76D7" w:rsidRDefault="008E29E3" w:rsidP="000E7DFC">
      <w:pPr>
        <w:pStyle w:val="Heading3"/>
        <w:jc w:val="both"/>
        <w:rPr>
          <w:rFonts w:ascii="Rockwell" w:eastAsia="Times New Roman" w:hAnsi="Rockwell" w:cs="Times New Roman"/>
          <w:b/>
          <w:sz w:val="24"/>
          <w:szCs w:val="24"/>
        </w:rPr>
      </w:pPr>
      <w:r w:rsidRPr="004A76D7">
        <w:rPr>
          <w:rFonts w:ascii="Rockwell" w:eastAsia="Times New Roman" w:hAnsi="Rockwell" w:cs="Times New Roman"/>
          <w:sz w:val="24"/>
          <w:szCs w:val="24"/>
        </w:rPr>
        <w:t xml:space="preserve"> </w:t>
      </w:r>
      <w:bookmarkStart w:id="46" w:name="_Toc209047133"/>
      <w:r w:rsidR="00434583">
        <w:rPr>
          <w:rFonts w:ascii="Rockwell" w:eastAsia="Times New Roman" w:hAnsi="Rockwell" w:cs="Times New Roman"/>
          <w:b/>
          <w:sz w:val="24"/>
          <w:szCs w:val="24"/>
        </w:rPr>
        <w:t xml:space="preserve">l) </w:t>
      </w:r>
      <w:r w:rsidRPr="004A76D7">
        <w:rPr>
          <w:rFonts w:ascii="Rockwell" w:eastAsia="Times New Roman" w:hAnsi="Rockwell" w:cs="Times New Roman"/>
          <w:b/>
          <w:sz w:val="24"/>
          <w:szCs w:val="24"/>
        </w:rPr>
        <w:t>Care and maintenance during temporary discontinuance</w:t>
      </w:r>
      <w:bookmarkEnd w:id="46"/>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w:t>
      </w:r>
      <w:proofErr w:type="spellStart"/>
      <w:r w:rsidRPr="004A76D7">
        <w:rPr>
          <w:rFonts w:ascii="Rockwell" w:eastAsia="Times New Roman" w:hAnsi="Rockwell" w:cs="Times New Roman"/>
          <w:sz w:val="24"/>
          <w:szCs w:val="24"/>
        </w:rPr>
        <w:t>i</w:t>
      </w:r>
      <w:proofErr w:type="spellEnd"/>
      <w:r w:rsidRPr="004A76D7">
        <w:rPr>
          <w:rFonts w:ascii="Rockwell" w:eastAsia="Times New Roman" w:hAnsi="Rockwell" w:cs="Times New Roman"/>
          <w:sz w:val="24"/>
          <w:szCs w:val="24"/>
        </w:rPr>
        <w:t xml:space="preserve">). Provide an emergency plan for the situation of temporary discontinuance or incomplete </w:t>
      </w:r>
      <w:proofErr w:type="spellStart"/>
      <w:r w:rsidRPr="004A76D7">
        <w:rPr>
          <w:rFonts w:ascii="Rockwell" w:eastAsia="Times New Roman" w:hAnsi="Rockwell" w:cs="Times New Roman"/>
          <w:sz w:val="24"/>
          <w:szCs w:val="24"/>
        </w:rPr>
        <w:t>programme</w:t>
      </w:r>
      <w:proofErr w:type="spellEnd"/>
      <w:r w:rsidRPr="004A76D7">
        <w:rPr>
          <w:rFonts w:ascii="Rockwell" w:eastAsia="Times New Roman" w:hAnsi="Rockwell" w:cs="Times New Roman"/>
          <w:sz w:val="24"/>
          <w:szCs w:val="24"/>
        </w:rPr>
        <w:t xml:space="preserve"> due to court order or statutory requirements or any </w:t>
      </w:r>
      <w:r w:rsidRPr="004A76D7">
        <w:rPr>
          <w:rFonts w:ascii="Rockwell" w:eastAsia="Times New Roman" w:hAnsi="Rockwell" w:cs="Times New Roman"/>
          <w:sz w:val="24"/>
          <w:szCs w:val="24"/>
        </w:rPr>
        <w:lastRenderedPageBreak/>
        <w:t>other unforeseen circumstances. This should include a plan indicating measures of care, maintenance and monitoring of status of unplanned discontinued mining operations expected to re-open in near future.</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(ii). </w:t>
      </w:r>
      <w:proofErr w:type="gramStart"/>
      <w:r w:rsidRPr="004A76D7">
        <w:rPr>
          <w:rFonts w:ascii="Rockwell" w:eastAsia="Times New Roman" w:hAnsi="Rockwell" w:cs="Times New Roman"/>
          <w:sz w:val="24"/>
          <w:szCs w:val="24"/>
        </w:rPr>
        <w:t>This</w:t>
      </w:r>
      <w:proofErr w:type="gramEnd"/>
      <w:r w:rsidRPr="004A76D7">
        <w:rPr>
          <w:rFonts w:ascii="Rockwell" w:eastAsia="Times New Roman" w:hAnsi="Rockwell" w:cs="Times New Roman"/>
          <w:sz w:val="24"/>
          <w:szCs w:val="24"/>
        </w:rPr>
        <w:t xml:space="preserve"> should detail periodic and objective monitoring and maintenance </w:t>
      </w:r>
      <w:proofErr w:type="spellStart"/>
      <w:r w:rsidRPr="004A76D7">
        <w:rPr>
          <w:rFonts w:ascii="Rockwell" w:eastAsia="Times New Roman" w:hAnsi="Rockwell" w:cs="Times New Roman"/>
          <w:sz w:val="24"/>
          <w:szCs w:val="24"/>
        </w:rPr>
        <w:t>programme</w:t>
      </w:r>
      <w:proofErr w:type="spellEnd"/>
      <w:r w:rsidRPr="004A76D7">
        <w:rPr>
          <w:rFonts w:ascii="Rockwell" w:eastAsia="Times New Roman" w:hAnsi="Rockwell" w:cs="Times New Roman"/>
          <w:sz w:val="24"/>
          <w:szCs w:val="24"/>
        </w:rPr>
        <w:t>.</w:t>
      </w:r>
    </w:p>
    <w:p w:rsidR="008E29E3" w:rsidRPr="004A76D7" w:rsidRDefault="008E29E3" w:rsidP="000E7DFC">
      <w:pPr>
        <w:pStyle w:val="Heading3"/>
        <w:jc w:val="both"/>
        <w:rPr>
          <w:rFonts w:ascii="Rockwell" w:eastAsia="Times New Roman" w:hAnsi="Rockwell" w:cs="Times New Roman"/>
          <w:b/>
          <w:sz w:val="24"/>
          <w:szCs w:val="24"/>
        </w:rPr>
      </w:pPr>
      <w:r w:rsidRPr="004A76D7">
        <w:rPr>
          <w:rFonts w:ascii="Rockwell" w:eastAsia="Times New Roman" w:hAnsi="Rockwell" w:cs="Times New Roman"/>
          <w:sz w:val="24"/>
          <w:szCs w:val="24"/>
        </w:rPr>
        <w:t xml:space="preserve"> </w:t>
      </w:r>
      <w:bookmarkStart w:id="47" w:name="_Toc209047134"/>
      <w:r w:rsidR="00434583">
        <w:rPr>
          <w:rFonts w:ascii="Rockwell" w:eastAsia="Times New Roman" w:hAnsi="Rockwell" w:cs="Times New Roman"/>
          <w:b/>
          <w:sz w:val="24"/>
          <w:szCs w:val="24"/>
        </w:rPr>
        <w:t xml:space="preserve">m) </w:t>
      </w:r>
      <w:r w:rsidRPr="004A76D7">
        <w:rPr>
          <w:rFonts w:ascii="Rockwell" w:eastAsia="Times New Roman" w:hAnsi="Rockwell" w:cs="Times New Roman"/>
          <w:b/>
          <w:sz w:val="24"/>
          <w:szCs w:val="24"/>
        </w:rPr>
        <w:t>Visual Amenity</w:t>
      </w:r>
      <w:bookmarkEnd w:id="47"/>
    </w:p>
    <w:p w:rsidR="003501B1"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w:t>
      </w:r>
      <w:proofErr w:type="spellStart"/>
      <w:r w:rsidRPr="004A76D7">
        <w:rPr>
          <w:rFonts w:ascii="Rockwell" w:eastAsia="Times New Roman" w:hAnsi="Rockwell" w:cs="Times New Roman"/>
          <w:sz w:val="24"/>
          <w:szCs w:val="24"/>
        </w:rPr>
        <w:t>i</w:t>
      </w:r>
      <w:proofErr w:type="spellEnd"/>
      <w:r w:rsidRPr="004A76D7">
        <w:rPr>
          <w:rFonts w:ascii="Rockwell" w:eastAsia="Times New Roman" w:hAnsi="Rockwell" w:cs="Times New Roman"/>
          <w:sz w:val="24"/>
          <w:szCs w:val="24"/>
        </w:rPr>
        <w:t xml:space="preserve">). Reference should be made to the aesthetic baseline </w:t>
      </w:r>
      <w:r w:rsidR="003501B1" w:rsidRPr="004A76D7">
        <w:rPr>
          <w:rFonts w:ascii="Rockwell" w:eastAsia="Times New Roman" w:hAnsi="Rockwell" w:cs="Times New Roman"/>
          <w:sz w:val="24"/>
          <w:szCs w:val="24"/>
        </w:rPr>
        <w:t>of the site prior to the mining operations.</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(ii).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state of aesthetic recovery in comparison with the surrounding area.</w:t>
      </w:r>
    </w:p>
    <w:p w:rsidR="008E29E3"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(iii). Develop compatible after-use plans in consultation with the PAPs and othe</w:t>
      </w:r>
      <w:r w:rsidR="003501B1" w:rsidRPr="004A76D7">
        <w:rPr>
          <w:rFonts w:ascii="Rockwell" w:eastAsia="Times New Roman" w:hAnsi="Rockwell" w:cs="Times New Roman"/>
          <w:sz w:val="24"/>
          <w:szCs w:val="24"/>
        </w:rPr>
        <w:t xml:space="preserve">r </w:t>
      </w:r>
      <w:r w:rsidRPr="004A76D7">
        <w:rPr>
          <w:rFonts w:ascii="Rockwell" w:eastAsia="Times New Roman" w:hAnsi="Rockwell" w:cs="Times New Roman"/>
          <w:sz w:val="24"/>
          <w:szCs w:val="24"/>
        </w:rPr>
        <w:t>stakeholders.</w:t>
      </w:r>
    </w:p>
    <w:p w:rsidR="008E29E3" w:rsidRDefault="00434583" w:rsidP="000E7DFC">
      <w:pPr>
        <w:pStyle w:val="Heading3"/>
        <w:jc w:val="both"/>
        <w:rPr>
          <w:rFonts w:ascii="Rockwell" w:eastAsia="Times New Roman" w:hAnsi="Rockwell" w:cs="Times New Roman"/>
          <w:b/>
          <w:sz w:val="24"/>
          <w:szCs w:val="24"/>
        </w:rPr>
      </w:pPr>
      <w:bookmarkStart w:id="48" w:name="_Toc209047135"/>
      <w:r>
        <w:rPr>
          <w:rFonts w:ascii="Rockwell" w:eastAsia="Times New Roman" w:hAnsi="Rockwell" w:cs="Times New Roman"/>
          <w:sz w:val="24"/>
          <w:szCs w:val="24"/>
        </w:rPr>
        <w:t xml:space="preserve">n) </w:t>
      </w:r>
      <w:r w:rsidR="008E29E3" w:rsidRPr="004A76D7">
        <w:rPr>
          <w:rFonts w:ascii="Rockwell" w:eastAsia="Times New Roman" w:hAnsi="Rockwell" w:cs="Times New Roman"/>
          <w:b/>
          <w:sz w:val="24"/>
          <w:szCs w:val="24"/>
        </w:rPr>
        <w:t>Heritage and Cultural Aspects</w:t>
      </w:r>
      <w:bookmarkEnd w:id="48"/>
    </w:p>
    <w:p w:rsidR="003E5633" w:rsidRDefault="003E5633" w:rsidP="003E5633">
      <w:pPr>
        <w:pStyle w:val="NormalWeb"/>
        <w:jc w:val="both"/>
        <w:rPr>
          <w:rStyle w:val="15"/>
          <w:rFonts w:ascii="Rockwell" w:hAnsi="Rockwell"/>
        </w:rPr>
      </w:pPr>
      <w:r w:rsidRPr="003E5633">
        <w:rPr>
          <w:rStyle w:val="15"/>
          <w:rFonts w:ascii="Rockwell" w:hAnsi="Rockwell"/>
        </w:rPr>
        <w:t xml:space="preserve">There should be deliberate effort to preserve the cultural, historical, and spiritual significance of cultural </w:t>
      </w:r>
      <w:r w:rsidR="005F2761">
        <w:rPr>
          <w:rStyle w:val="15"/>
          <w:rFonts w:ascii="Rockwell" w:hAnsi="Rockwell"/>
        </w:rPr>
        <w:t xml:space="preserve">and heritage </w:t>
      </w:r>
      <w:r w:rsidRPr="003E5633">
        <w:rPr>
          <w:rStyle w:val="15"/>
          <w:rFonts w:ascii="Rockwell" w:hAnsi="Rockwell"/>
        </w:rPr>
        <w:t xml:space="preserve">sites while addressing project-related risks and impacts as guided by the </w:t>
      </w:r>
      <w:r w:rsidR="005F2761">
        <w:rPr>
          <w:rStyle w:val="15"/>
          <w:rFonts w:ascii="Rockwell" w:hAnsi="Rockwell"/>
        </w:rPr>
        <w:t xml:space="preserve">National Policy on Culture and Heritage, </w:t>
      </w:r>
      <w:r w:rsidRPr="003E5633">
        <w:rPr>
          <w:rStyle w:val="15"/>
          <w:rFonts w:ascii="Rockwell" w:hAnsi="Rockwell"/>
        </w:rPr>
        <w:t xml:space="preserve">National Museum and Heritage Act, </w:t>
      </w:r>
      <w:r w:rsidR="005F2761">
        <w:rPr>
          <w:rStyle w:val="15"/>
          <w:rFonts w:ascii="Rockwell" w:hAnsi="Rockwell"/>
        </w:rPr>
        <w:t>C</w:t>
      </w:r>
      <w:r w:rsidRPr="003E5633">
        <w:rPr>
          <w:rStyle w:val="15"/>
          <w:rFonts w:ascii="Rockwell" w:hAnsi="Rockwell"/>
        </w:rPr>
        <w:t>ap 216, the Operational Guidelines for the World Heritage Convention under UNESCO and the World Banks, 2016 Environmental and Social Framework.</w:t>
      </w:r>
    </w:p>
    <w:p w:rsidR="008E29E3" w:rsidRPr="004A76D7" w:rsidRDefault="00434583" w:rsidP="000E7DFC">
      <w:pPr>
        <w:pStyle w:val="Heading3"/>
        <w:jc w:val="both"/>
        <w:rPr>
          <w:rFonts w:ascii="Rockwell" w:eastAsia="Times New Roman" w:hAnsi="Rockwell" w:cs="Times New Roman"/>
          <w:b/>
          <w:sz w:val="24"/>
          <w:szCs w:val="24"/>
        </w:rPr>
      </w:pPr>
      <w:bookmarkStart w:id="49" w:name="_Toc209047136"/>
      <w:r>
        <w:rPr>
          <w:rFonts w:ascii="Rockwell" w:eastAsia="Times New Roman" w:hAnsi="Rockwell" w:cs="Times New Roman"/>
          <w:b/>
          <w:sz w:val="24"/>
          <w:szCs w:val="24"/>
        </w:rPr>
        <w:t xml:space="preserve">o) </w:t>
      </w:r>
      <w:r w:rsidR="008E29E3" w:rsidRPr="004A76D7">
        <w:rPr>
          <w:rFonts w:ascii="Rockwell" w:eastAsia="Times New Roman" w:hAnsi="Rockwell" w:cs="Times New Roman"/>
          <w:b/>
          <w:sz w:val="24"/>
          <w:szCs w:val="24"/>
        </w:rPr>
        <w:t>Grievance Redress Mechanism</w:t>
      </w:r>
      <w:bookmarkEnd w:id="49"/>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In developing a mine closure plan, it is imper</w:t>
      </w:r>
      <w:r w:rsidR="003501B1" w:rsidRPr="004A76D7">
        <w:rPr>
          <w:rFonts w:ascii="Rockwell" w:eastAsia="Times New Roman" w:hAnsi="Rockwell" w:cs="Times New Roman"/>
          <w:sz w:val="24"/>
          <w:szCs w:val="24"/>
        </w:rPr>
        <w:t xml:space="preserve">ative that grievance redress be </w:t>
      </w:r>
      <w:r w:rsidR="0041581C">
        <w:rPr>
          <w:rFonts w:ascii="Rockwell" w:eastAsia="Times New Roman" w:hAnsi="Rockwell" w:cs="Times New Roman"/>
          <w:sz w:val="24"/>
          <w:szCs w:val="24"/>
        </w:rPr>
        <w:t>in place</w:t>
      </w:r>
      <w:r w:rsidRPr="004A76D7">
        <w:rPr>
          <w:rFonts w:ascii="Rockwell" w:eastAsia="Times New Roman" w:hAnsi="Rockwell" w:cs="Times New Roman"/>
          <w:sz w:val="24"/>
          <w:szCs w:val="24"/>
        </w:rPr>
        <w:t xml:space="preserve"> </w:t>
      </w:r>
      <w:r w:rsidR="0041581C">
        <w:rPr>
          <w:rFonts w:ascii="Rockwell" w:eastAsia="Times New Roman" w:hAnsi="Rockwell" w:cs="Times New Roman"/>
          <w:sz w:val="24"/>
          <w:szCs w:val="24"/>
        </w:rPr>
        <w:t xml:space="preserve">for receiving, processing and resolving complaints or concerns from individuals or community negatively affected by the mining operations. </w:t>
      </w:r>
      <w:r w:rsidRPr="004A76D7">
        <w:rPr>
          <w:rFonts w:ascii="Rockwell" w:eastAsia="Times New Roman" w:hAnsi="Rockwell" w:cs="Times New Roman"/>
          <w:sz w:val="24"/>
          <w:szCs w:val="24"/>
        </w:rPr>
        <w:t>A proper GRM ne</w:t>
      </w:r>
      <w:r w:rsidR="003501B1" w:rsidRPr="004A76D7">
        <w:rPr>
          <w:rFonts w:ascii="Rockwell" w:eastAsia="Times New Roman" w:hAnsi="Rockwell" w:cs="Times New Roman"/>
          <w:sz w:val="24"/>
          <w:szCs w:val="24"/>
        </w:rPr>
        <w:t xml:space="preserve">eds to be in place from the ESIA </w:t>
      </w:r>
      <w:r w:rsidRPr="004A76D7">
        <w:rPr>
          <w:rFonts w:ascii="Rockwell" w:eastAsia="Times New Roman" w:hAnsi="Rockwell" w:cs="Times New Roman"/>
          <w:sz w:val="24"/>
          <w:szCs w:val="24"/>
        </w:rPr>
        <w:t>phase,</w:t>
      </w:r>
      <w:r w:rsidR="008B435F">
        <w:rPr>
          <w:rFonts w:ascii="Rockwell" w:eastAsia="Times New Roman" w:hAnsi="Rockwell" w:cs="Times New Roman"/>
          <w:sz w:val="24"/>
          <w:szCs w:val="24"/>
        </w:rPr>
        <w:t xml:space="preserve"> and be communicated by the operator</w:t>
      </w:r>
      <w:r w:rsidRPr="004A76D7">
        <w:rPr>
          <w:rFonts w:ascii="Rockwell" w:eastAsia="Times New Roman" w:hAnsi="Rockwell" w:cs="Times New Roman"/>
          <w:sz w:val="24"/>
          <w:szCs w:val="24"/>
        </w:rPr>
        <w:t xml:space="preserve"> </w:t>
      </w:r>
      <w:r w:rsidR="0041581C">
        <w:rPr>
          <w:rFonts w:ascii="Rockwell" w:eastAsia="Times New Roman" w:hAnsi="Rockwell" w:cs="Times New Roman"/>
          <w:sz w:val="24"/>
          <w:szCs w:val="24"/>
        </w:rPr>
        <w:t>in all the stakeholder engagement and public communications</w:t>
      </w:r>
      <w:r w:rsidRPr="004A76D7">
        <w:rPr>
          <w:rFonts w:ascii="Rockwell" w:eastAsia="Times New Roman" w:hAnsi="Rockwell" w:cs="Times New Roman"/>
          <w:sz w:val="24"/>
          <w:szCs w:val="24"/>
        </w:rPr>
        <w:t>.</w:t>
      </w:r>
    </w:p>
    <w:p w:rsidR="008E29E3" w:rsidRPr="004A76D7" w:rsidRDefault="008B435F" w:rsidP="000E7DFC">
      <w:pPr>
        <w:pStyle w:val="Heading3"/>
        <w:jc w:val="both"/>
        <w:rPr>
          <w:rFonts w:ascii="Rockwell" w:eastAsia="Times New Roman" w:hAnsi="Rockwell" w:cs="Times New Roman"/>
          <w:b/>
          <w:sz w:val="24"/>
          <w:szCs w:val="24"/>
        </w:rPr>
      </w:pPr>
      <w:bookmarkStart w:id="50" w:name="_Toc209047137"/>
      <w:r>
        <w:rPr>
          <w:rFonts w:ascii="Rockwell" w:eastAsia="Times New Roman" w:hAnsi="Rockwell" w:cs="Times New Roman"/>
          <w:b/>
          <w:sz w:val="24"/>
          <w:szCs w:val="24"/>
        </w:rPr>
        <w:t xml:space="preserve">p) </w:t>
      </w:r>
      <w:r w:rsidR="008E29E3" w:rsidRPr="004A76D7">
        <w:rPr>
          <w:rFonts w:ascii="Rockwell" w:eastAsia="Times New Roman" w:hAnsi="Rockwell" w:cs="Times New Roman"/>
          <w:b/>
          <w:sz w:val="24"/>
          <w:szCs w:val="24"/>
        </w:rPr>
        <w:t>Post-Mining Land Use and Closure Objectives</w:t>
      </w:r>
      <w:bookmarkEnd w:id="50"/>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The mine site decommissioning plan should identify </w:t>
      </w:r>
      <w:r w:rsidR="003501B1" w:rsidRPr="004A76D7">
        <w:rPr>
          <w:rFonts w:ascii="Rockwell" w:eastAsia="Times New Roman" w:hAnsi="Rockwell" w:cs="Times New Roman"/>
          <w:sz w:val="24"/>
          <w:szCs w:val="24"/>
        </w:rPr>
        <w:t xml:space="preserve">all potential (or pre-existing) </w:t>
      </w:r>
      <w:r w:rsidRPr="004A76D7">
        <w:rPr>
          <w:rFonts w:ascii="Rockwell" w:eastAsia="Times New Roman" w:hAnsi="Rockwell" w:cs="Times New Roman"/>
          <w:sz w:val="24"/>
          <w:szCs w:val="24"/>
        </w:rPr>
        <w:t>environmental legacies (including contaminated sites) which</w:t>
      </w:r>
      <w:r w:rsidR="003501B1" w:rsidRPr="004A76D7">
        <w:rPr>
          <w:rFonts w:ascii="Rockwell" w:eastAsia="Times New Roman" w:hAnsi="Rockwell" w:cs="Times New Roman"/>
          <w:sz w:val="24"/>
          <w:szCs w:val="24"/>
        </w:rPr>
        <w:t xml:space="preserve"> may restrict the post- </w:t>
      </w:r>
      <w:r w:rsidRPr="004A76D7">
        <w:rPr>
          <w:rFonts w:ascii="Rockwell" w:eastAsia="Times New Roman" w:hAnsi="Rockwell" w:cs="Times New Roman"/>
          <w:sz w:val="24"/>
          <w:szCs w:val="24"/>
        </w:rPr>
        <w:t>mining land use. The following land use hierarchy provid</w:t>
      </w:r>
      <w:r w:rsidR="003501B1" w:rsidRPr="004A76D7">
        <w:rPr>
          <w:rFonts w:ascii="Rockwell" w:eastAsia="Times New Roman" w:hAnsi="Rockwell" w:cs="Times New Roman"/>
          <w:sz w:val="24"/>
          <w:szCs w:val="24"/>
        </w:rPr>
        <w:t>es a guide to determining post-</w:t>
      </w:r>
      <w:r w:rsidRPr="004A76D7">
        <w:rPr>
          <w:rFonts w:ascii="Rockwell" w:eastAsia="Times New Roman" w:hAnsi="Rockwell" w:cs="Times New Roman"/>
          <w:sz w:val="24"/>
          <w:szCs w:val="24"/>
        </w:rPr>
        <w:t>mining land use(s):</w:t>
      </w:r>
    </w:p>
    <w:p w:rsidR="00163CD9" w:rsidRDefault="008E29E3" w:rsidP="000E7DFC">
      <w:pPr>
        <w:spacing w:before="240" w:after="240"/>
        <w:ind w:left="360"/>
        <w:jc w:val="both"/>
        <w:rPr>
          <w:rFonts w:ascii="Rockwell" w:eastAsia="Times New Roman" w:hAnsi="Rockwell" w:cs="Times New Roman"/>
          <w:sz w:val="24"/>
          <w:szCs w:val="24"/>
        </w:rPr>
      </w:pPr>
      <w:proofErr w:type="spellStart"/>
      <w:r w:rsidRPr="004A76D7">
        <w:rPr>
          <w:rFonts w:ascii="Rockwell" w:eastAsia="Times New Roman" w:hAnsi="Rockwell" w:cs="Times New Roman"/>
          <w:sz w:val="24"/>
          <w:szCs w:val="24"/>
        </w:rPr>
        <w:t>i</w:t>
      </w:r>
      <w:proofErr w:type="spellEnd"/>
      <w:r w:rsidRPr="004A76D7">
        <w:rPr>
          <w:rFonts w:ascii="Rockwell" w:eastAsia="Times New Roman" w:hAnsi="Rockwell" w:cs="Times New Roman"/>
          <w:sz w:val="24"/>
          <w:szCs w:val="24"/>
        </w:rPr>
        <w:t>. Reinstate “natural” ecosystems to be as simi</w:t>
      </w:r>
      <w:r w:rsidR="003501B1" w:rsidRPr="004A76D7">
        <w:rPr>
          <w:rFonts w:ascii="Rockwell" w:eastAsia="Times New Roman" w:hAnsi="Rockwell" w:cs="Times New Roman"/>
          <w:sz w:val="24"/>
          <w:szCs w:val="24"/>
        </w:rPr>
        <w:t xml:space="preserve">lar as possible to the original </w:t>
      </w:r>
      <w:r w:rsidRPr="004A76D7">
        <w:rPr>
          <w:rFonts w:ascii="Rockwell" w:eastAsia="Times New Roman" w:hAnsi="Rockwell" w:cs="Times New Roman"/>
          <w:sz w:val="24"/>
          <w:szCs w:val="24"/>
        </w:rPr>
        <w:t>ecosystem</w:t>
      </w:r>
      <w:r w:rsidR="00163CD9">
        <w:rPr>
          <w:rFonts w:ascii="Rockwell" w:eastAsia="Times New Roman" w:hAnsi="Rockwell" w:cs="Times New Roman"/>
          <w:sz w:val="24"/>
          <w:szCs w:val="24"/>
        </w:rPr>
        <w:t xml:space="preserve"> or the </w:t>
      </w:r>
      <w:r w:rsidR="00163CD9" w:rsidRPr="004A76D7">
        <w:rPr>
          <w:rFonts w:ascii="Rockwell" w:eastAsia="Times New Roman" w:hAnsi="Rockwell" w:cs="Times New Roman"/>
          <w:sz w:val="24"/>
          <w:szCs w:val="24"/>
        </w:rPr>
        <w:t>pre-mining land use</w:t>
      </w:r>
      <w:r w:rsidRPr="004A76D7">
        <w:rPr>
          <w:rFonts w:ascii="Rockwell" w:eastAsia="Times New Roman" w:hAnsi="Rockwell" w:cs="Times New Roman"/>
          <w:sz w:val="24"/>
          <w:szCs w:val="24"/>
        </w:rPr>
        <w:t xml:space="preserve">. </w:t>
      </w:r>
    </w:p>
    <w:p w:rsidR="008E29E3" w:rsidRPr="004A76D7" w:rsidRDefault="00163CD9" w:rsidP="000E7DFC">
      <w:pPr>
        <w:spacing w:before="240" w:after="240"/>
        <w:ind w:left="360"/>
        <w:jc w:val="both"/>
        <w:rPr>
          <w:rFonts w:ascii="Rockwell" w:eastAsia="Times New Roman" w:hAnsi="Rockwell" w:cs="Times New Roman"/>
          <w:sz w:val="24"/>
          <w:szCs w:val="24"/>
        </w:rPr>
      </w:pPr>
      <w:r>
        <w:rPr>
          <w:rFonts w:ascii="Rockwell" w:eastAsia="Times New Roman" w:hAnsi="Rockwell" w:cs="Times New Roman"/>
          <w:sz w:val="24"/>
          <w:szCs w:val="24"/>
        </w:rPr>
        <w:t xml:space="preserve">ii. </w:t>
      </w:r>
      <w:r w:rsidR="008E29E3" w:rsidRPr="004A76D7">
        <w:rPr>
          <w:rFonts w:ascii="Rockwell" w:eastAsia="Times New Roman" w:hAnsi="Rockwell" w:cs="Times New Roman"/>
          <w:sz w:val="24"/>
          <w:szCs w:val="24"/>
        </w:rPr>
        <w:t>Biodiversity offsets can also be c</w:t>
      </w:r>
      <w:r w:rsidR="003501B1" w:rsidRPr="004A76D7">
        <w:rPr>
          <w:rFonts w:ascii="Rockwell" w:eastAsia="Times New Roman" w:hAnsi="Rockwell" w:cs="Times New Roman"/>
          <w:sz w:val="24"/>
          <w:szCs w:val="24"/>
        </w:rPr>
        <w:t xml:space="preserve">onsidered as long as no harm is </w:t>
      </w:r>
      <w:r w:rsidR="008E29E3" w:rsidRPr="004A76D7">
        <w:rPr>
          <w:rFonts w:ascii="Rockwell" w:eastAsia="Times New Roman" w:hAnsi="Rockwell" w:cs="Times New Roman"/>
          <w:sz w:val="24"/>
          <w:szCs w:val="24"/>
        </w:rPr>
        <w:t>posed to</w:t>
      </w:r>
      <w:r>
        <w:rPr>
          <w:rFonts w:ascii="Rockwell" w:eastAsia="Times New Roman" w:hAnsi="Rockwell" w:cs="Times New Roman"/>
          <w:sz w:val="24"/>
          <w:szCs w:val="24"/>
        </w:rPr>
        <w:t xml:space="preserve"> the environment and the public to enhance the protection and restoration of another similar ecosystem of equal or greater ecological value.</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lastRenderedPageBreak/>
        <w:t>ii</w:t>
      </w:r>
      <w:r w:rsidR="00163CD9">
        <w:rPr>
          <w:rFonts w:ascii="Rockwell" w:eastAsia="Times New Roman" w:hAnsi="Rockwell" w:cs="Times New Roman"/>
          <w:sz w:val="24"/>
          <w:szCs w:val="24"/>
        </w:rPr>
        <w:t>i</w:t>
      </w:r>
      <w:r w:rsidRPr="004A76D7">
        <w:rPr>
          <w:rFonts w:ascii="Rockwell" w:eastAsia="Times New Roman" w:hAnsi="Rockwell" w:cs="Times New Roman"/>
          <w:sz w:val="24"/>
          <w:szCs w:val="24"/>
        </w:rPr>
        <w:t>. Develop an alternative land use with higher beneficial uses than the pre-mining</w:t>
      </w:r>
      <w:r w:rsidR="003501B1"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land use.</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In the early stages of a mining project, it may be acceptable for provisional or p</w:t>
      </w:r>
      <w:r w:rsidR="003501B1" w:rsidRPr="004A76D7">
        <w:rPr>
          <w:rFonts w:ascii="Rockwell" w:eastAsia="Times New Roman" w:hAnsi="Rockwell" w:cs="Times New Roman"/>
          <w:sz w:val="24"/>
          <w:szCs w:val="24"/>
        </w:rPr>
        <w:t xml:space="preserve">roposed </w:t>
      </w:r>
      <w:r w:rsidRPr="004A76D7">
        <w:rPr>
          <w:rFonts w:ascii="Rockwell" w:eastAsia="Times New Roman" w:hAnsi="Rockwell" w:cs="Times New Roman"/>
          <w:sz w:val="24"/>
          <w:szCs w:val="24"/>
        </w:rPr>
        <w:t>post mining land use(s) to be identified, provid</w:t>
      </w:r>
      <w:r w:rsidR="003501B1" w:rsidRPr="004A76D7">
        <w:rPr>
          <w:rFonts w:ascii="Rockwell" w:eastAsia="Times New Roman" w:hAnsi="Rockwell" w:cs="Times New Roman"/>
          <w:sz w:val="24"/>
          <w:szCs w:val="24"/>
        </w:rPr>
        <w:t xml:space="preserve">ed that there has been adequate </w:t>
      </w:r>
      <w:r w:rsidRPr="004A76D7">
        <w:rPr>
          <w:rFonts w:ascii="Rockwell" w:eastAsia="Times New Roman" w:hAnsi="Rockwell" w:cs="Times New Roman"/>
          <w:sz w:val="24"/>
          <w:szCs w:val="24"/>
        </w:rPr>
        <w:t>engagement with the government, PAPs, local communities and other key stakeholders.</w:t>
      </w:r>
    </w:p>
    <w:p w:rsidR="008E29E3" w:rsidRPr="004A76D7" w:rsidRDefault="00163CD9" w:rsidP="000E7DFC">
      <w:pPr>
        <w:pStyle w:val="Heading3"/>
        <w:jc w:val="both"/>
        <w:rPr>
          <w:rFonts w:ascii="Rockwell" w:eastAsia="Times New Roman" w:hAnsi="Rockwell" w:cs="Times New Roman"/>
          <w:b/>
          <w:sz w:val="24"/>
          <w:szCs w:val="24"/>
        </w:rPr>
      </w:pPr>
      <w:bookmarkStart w:id="51" w:name="_Toc209047138"/>
      <w:r>
        <w:rPr>
          <w:rFonts w:ascii="Rockwell" w:eastAsia="Times New Roman" w:hAnsi="Rockwell" w:cs="Times New Roman"/>
          <w:b/>
          <w:sz w:val="24"/>
          <w:szCs w:val="24"/>
        </w:rPr>
        <w:t xml:space="preserve">q) </w:t>
      </w:r>
      <w:r w:rsidR="008E29E3" w:rsidRPr="004A76D7">
        <w:rPr>
          <w:rFonts w:ascii="Rockwell" w:eastAsia="Times New Roman" w:hAnsi="Rockwell" w:cs="Times New Roman"/>
          <w:b/>
          <w:sz w:val="24"/>
          <w:szCs w:val="24"/>
        </w:rPr>
        <w:t>Typical Post-Closure Activities</w:t>
      </w:r>
      <w:bookmarkEnd w:id="51"/>
    </w:p>
    <w:p w:rsidR="008E29E3" w:rsidRPr="004A76D7" w:rsidRDefault="00896762" w:rsidP="000E7DFC">
      <w:pPr>
        <w:spacing w:before="240" w:after="240"/>
        <w:jc w:val="both"/>
        <w:rPr>
          <w:rFonts w:ascii="Rockwell" w:eastAsia="Times New Roman" w:hAnsi="Rockwell" w:cs="Times New Roman"/>
          <w:sz w:val="24"/>
          <w:szCs w:val="24"/>
          <w:highlight w:val="white"/>
        </w:rPr>
      </w:pPr>
      <w:r>
        <w:rPr>
          <w:rFonts w:ascii="Rockwell" w:eastAsia="Times New Roman" w:hAnsi="Rockwell" w:cs="Times New Roman"/>
          <w:sz w:val="24"/>
          <w:szCs w:val="24"/>
          <w:highlight w:val="white"/>
        </w:rPr>
        <w:t>M</w:t>
      </w:r>
      <w:r w:rsidR="008E29E3" w:rsidRPr="004A76D7">
        <w:rPr>
          <w:rFonts w:ascii="Rockwell" w:eastAsia="Times New Roman" w:hAnsi="Rockwell" w:cs="Times New Roman"/>
          <w:sz w:val="24"/>
          <w:szCs w:val="24"/>
          <w:highlight w:val="white"/>
        </w:rPr>
        <w:t xml:space="preserve">ost post-closure activities </w:t>
      </w:r>
      <w:r>
        <w:rPr>
          <w:rFonts w:ascii="Rockwell" w:eastAsia="Times New Roman" w:hAnsi="Rockwell" w:cs="Times New Roman"/>
          <w:sz w:val="24"/>
          <w:szCs w:val="24"/>
          <w:highlight w:val="white"/>
        </w:rPr>
        <w:t xml:space="preserve">that are undertaken </w:t>
      </w:r>
      <w:r w:rsidR="008B2B4F">
        <w:rPr>
          <w:rFonts w:ascii="Rockwell" w:eastAsia="Times New Roman" w:hAnsi="Rockwell" w:cs="Times New Roman"/>
          <w:sz w:val="24"/>
          <w:szCs w:val="24"/>
          <w:highlight w:val="white"/>
        </w:rPr>
        <w:t xml:space="preserve">by the operator in consultation with the relevant government agencies </w:t>
      </w:r>
      <w:r>
        <w:rPr>
          <w:rFonts w:ascii="Rockwell" w:eastAsia="Times New Roman" w:hAnsi="Rockwell" w:cs="Times New Roman"/>
          <w:sz w:val="24"/>
          <w:szCs w:val="24"/>
          <w:highlight w:val="white"/>
        </w:rPr>
        <w:t xml:space="preserve">after the completion of the active mining phase </w:t>
      </w:r>
      <w:r w:rsidR="008E29E3" w:rsidRPr="004A76D7">
        <w:rPr>
          <w:rFonts w:ascii="Rockwell" w:eastAsia="Times New Roman" w:hAnsi="Rockwell" w:cs="Times New Roman"/>
          <w:sz w:val="24"/>
          <w:szCs w:val="24"/>
          <w:highlight w:val="white"/>
        </w:rPr>
        <w:t>take time to complete.</w:t>
      </w:r>
      <w:r w:rsidR="008E29E3" w:rsidRPr="004A76D7">
        <w:rPr>
          <w:rFonts w:ascii="Rockwell" w:eastAsia="Times New Roman" w:hAnsi="Rockwell" w:cs="Times New Roman"/>
          <w:b/>
          <w:sz w:val="24"/>
          <w:szCs w:val="24"/>
          <w:highlight w:val="white"/>
        </w:rPr>
        <w:t xml:space="preserve"> </w:t>
      </w:r>
      <w:r w:rsidR="008E29E3" w:rsidRPr="004A76D7">
        <w:rPr>
          <w:rFonts w:ascii="Rockwell" w:eastAsia="Times New Roman" w:hAnsi="Rockwell" w:cs="Times New Roman"/>
          <w:sz w:val="24"/>
          <w:szCs w:val="24"/>
          <w:highlight w:val="white"/>
        </w:rPr>
        <w:t>Activities which can run for some years in this phase include:</w:t>
      </w:r>
    </w:p>
    <w:p w:rsidR="008E29E3" w:rsidRPr="00163CD9" w:rsidRDefault="008E29E3" w:rsidP="00163CD9">
      <w:pPr>
        <w:pStyle w:val="ListParagraph"/>
        <w:numPr>
          <w:ilvl w:val="0"/>
          <w:numId w:val="30"/>
        </w:numPr>
        <w:jc w:val="both"/>
        <w:rPr>
          <w:rFonts w:ascii="Rockwell" w:eastAsia="Times New Roman" w:hAnsi="Rockwell" w:cs="Times New Roman"/>
          <w:sz w:val="24"/>
          <w:szCs w:val="24"/>
          <w:highlight w:val="white"/>
        </w:rPr>
      </w:pPr>
      <w:r w:rsidRPr="00163CD9">
        <w:rPr>
          <w:rFonts w:ascii="Rockwell" w:eastAsia="Times New Roman" w:hAnsi="Rockwell" w:cs="Times New Roman"/>
          <w:sz w:val="24"/>
          <w:szCs w:val="24"/>
          <w:highlight w:val="white"/>
        </w:rPr>
        <w:t>Demolition and removal of infrastructure</w:t>
      </w:r>
    </w:p>
    <w:p w:rsidR="008E29E3" w:rsidRPr="00163CD9" w:rsidRDefault="008E29E3" w:rsidP="00163CD9">
      <w:pPr>
        <w:pStyle w:val="ListParagraph"/>
        <w:numPr>
          <w:ilvl w:val="0"/>
          <w:numId w:val="30"/>
        </w:numPr>
        <w:jc w:val="both"/>
        <w:rPr>
          <w:rFonts w:ascii="Rockwell" w:eastAsia="Times New Roman" w:hAnsi="Rockwell" w:cs="Times New Roman"/>
          <w:sz w:val="24"/>
          <w:szCs w:val="24"/>
          <w:highlight w:val="white"/>
        </w:rPr>
      </w:pPr>
      <w:r w:rsidRPr="00163CD9">
        <w:rPr>
          <w:rFonts w:ascii="Rockwell" w:eastAsia="Times New Roman" w:hAnsi="Rockwell" w:cs="Times New Roman"/>
          <w:sz w:val="24"/>
          <w:szCs w:val="24"/>
          <w:highlight w:val="white"/>
        </w:rPr>
        <w:t>Consolidation and decommissioning of the tailings facilities</w:t>
      </w:r>
    </w:p>
    <w:p w:rsidR="008E29E3" w:rsidRPr="00163CD9" w:rsidRDefault="008E29E3" w:rsidP="00163CD9">
      <w:pPr>
        <w:pStyle w:val="ListParagraph"/>
        <w:numPr>
          <w:ilvl w:val="0"/>
          <w:numId w:val="30"/>
        </w:numPr>
        <w:jc w:val="both"/>
        <w:rPr>
          <w:rFonts w:ascii="Rockwell" w:eastAsia="Times New Roman" w:hAnsi="Rockwell" w:cs="Times New Roman"/>
          <w:sz w:val="24"/>
          <w:szCs w:val="24"/>
          <w:highlight w:val="white"/>
        </w:rPr>
      </w:pPr>
      <w:r w:rsidRPr="00163CD9">
        <w:rPr>
          <w:rFonts w:ascii="Rockwell" w:eastAsia="Times New Roman" w:hAnsi="Rockwell" w:cs="Times New Roman"/>
          <w:sz w:val="24"/>
          <w:szCs w:val="24"/>
          <w:highlight w:val="white"/>
        </w:rPr>
        <w:t>Reshaping of remaining mining landforms</w:t>
      </w:r>
    </w:p>
    <w:p w:rsidR="008E29E3" w:rsidRPr="00163CD9" w:rsidRDefault="008E29E3" w:rsidP="00163CD9">
      <w:pPr>
        <w:pStyle w:val="ListParagraph"/>
        <w:numPr>
          <w:ilvl w:val="0"/>
          <w:numId w:val="30"/>
        </w:numPr>
        <w:jc w:val="both"/>
        <w:rPr>
          <w:rFonts w:ascii="Rockwell" w:eastAsia="Times New Roman" w:hAnsi="Rockwell" w:cs="Times New Roman"/>
          <w:sz w:val="24"/>
          <w:szCs w:val="24"/>
          <w:highlight w:val="white"/>
        </w:rPr>
      </w:pPr>
      <w:r w:rsidRPr="00163CD9">
        <w:rPr>
          <w:rFonts w:ascii="Rockwell" w:eastAsia="Times New Roman" w:hAnsi="Rockwell" w:cs="Times New Roman"/>
          <w:sz w:val="24"/>
          <w:szCs w:val="24"/>
          <w:highlight w:val="white"/>
        </w:rPr>
        <w:t>Re-establishment of surface hydrology and drainage systems</w:t>
      </w:r>
    </w:p>
    <w:p w:rsidR="008E29E3" w:rsidRPr="00163CD9" w:rsidRDefault="008E29E3" w:rsidP="00163CD9">
      <w:pPr>
        <w:pStyle w:val="ListParagraph"/>
        <w:numPr>
          <w:ilvl w:val="0"/>
          <w:numId w:val="30"/>
        </w:numPr>
        <w:jc w:val="both"/>
        <w:rPr>
          <w:rFonts w:ascii="Rockwell" w:eastAsia="Times New Roman" w:hAnsi="Rockwell" w:cs="Times New Roman"/>
          <w:sz w:val="24"/>
          <w:szCs w:val="24"/>
          <w:highlight w:val="white"/>
        </w:rPr>
      </w:pPr>
      <w:r w:rsidRPr="00163CD9">
        <w:rPr>
          <w:rFonts w:ascii="Rockwell" w:eastAsia="Times New Roman" w:hAnsi="Rockwell" w:cs="Times New Roman"/>
          <w:sz w:val="24"/>
          <w:szCs w:val="24"/>
          <w:highlight w:val="white"/>
        </w:rPr>
        <w:t>Treatment, discharge or disposal of poor-quality water</w:t>
      </w:r>
    </w:p>
    <w:p w:rsidR="008E29E3" w:rsidRPr="00163CD9" w:rsidRDefault="008E29E3" w:rsidP="00163CD9">
      <w:pPr>
        <w:pStyle w:val="ListParagraph"/>
        <w:numPr>
          <w:ilvl w:val="0"/>
          <w:numId w:val="30"/>
        </w:numPr>
        <w:jc w:val="both"/>
        <w:rPr>
          <w:rFonts w:ascii="Rockwell" w:eastAsia="Times New Roman" w:hAnsi="Rockwell" w:cs="Times New Roman"/>
          <w:sz w:val="24"/>
          <w:szCs w:val="24"/>
          <w:highlight w:val="white"/>
        </w:rPr>
      </w:pPr>
      <w:r w:rsidRPr="00163CD9">
        <w:rPr>
          <w:rFonts w:ascii="Rockwell" w:eastAsia="Times New Roman" w:hAnsi="Rockwell" w:cs="Times New Roman"/>
          <w:sz w:val="24"/>
          <w:szCs w:val="24"/>
          <w:highlight w:val="white"/>
        </w:rPr>
        <w:t>Completing the rehabilitation and remediation processes</w:t>
      </w:r>
    </w:p>
    <w:p w:rsidR="008E29E3" w:rsidRPr="00163CD9" w:rsidRDefault="008E29E3" w:rsidP="00163CD9">
      <w:pPr>
        <w:pStyle w:val="ListParagraph"/>
        <w:numPr>
          <w:ilvl w:val="0"/>
          <w:numId w:val="30"/>
        </w:numPr>
        <w:jc w:val="both"/>
        <w:rPr>
          <w:rFonts w:ascii="Rockwell" w:eastAsia="Times New Roman" w:hAnsi="Rockwell" w:cs="Times New Roman"/>
          <w:sz w:val="24"/>
          <w:szCs w:val="24"/>
          <w:highlight w:val="white"/>
        </w:rPr>
      </w:pPr>
      <w:r w:rsidRPr="00163CD9">
        <w:rPr>
          <w:rFonts w:ascii="Rockwell" w:eastAsia="Times New Roman" w:hAnsi="Rockwell" w:cs="Times New Roman"/>
          <w:sz w:val="24"/>
          <w:szCs w:val="24"/>
          <w:highlight w:val="white"/>
        </w:rPr>
        <w:t>Managing, monitoring, recording and documenting closure processes</w:t>
      </w:r>
    </w:p>
    <w:p w:rsidR="008E29E3" w:rsidRPr="00163CD9" w:rsidRDefault="008E29E3" w:rsidP="00163CD9">
      <w:pPr>
        <w:pStyle w:val="ListParagraph"/>
        <w:numPr>
          <w:ilvl w:val="0"/>
          <w:numId w:val="30"/>
        </w:numPr>
        <w:jc w:val="both"/>
        <w:rPr>
          <w:rFonts w:ascii="Rockwell" w:eastAsia="Times New Roman" w:hAnsi="Rockwell" w:cs="Times New Roman"/>
          <w:sz w:val="24"/>
          <w:szCs w:val="24"/>
          <w:highlight w:val="white"/>
        </w:rPr>
      </w:pPr>
      <w:r w:rsidRPr="00163CD9">
        <w:rPr>
          <w:rFonts w:ascii="Rockwell" w:eastAsia="Times New Roman" w:hAnsi="Rockwell" w:cs="Times New Roman"/>
          <w:sz w:val="24"/>
          <w:szCs w:val="24"/>
          <w:highlight w:val="white"/>
        </w:rPr>
        <w:t>Measuring the performance of closure activities against the agreed closure objectives and criteria and reporting that performance</w:t>
      </w:r>
    </w:p>
    <w:p w:rsidR="008E29E3" w:rsidRDefault="008E29E3" w:rsidP="00163CD9">
      <w:pPr>
        <w:pStyle w:val="ListParagraph"/>
        <w:numPr>
          <w:ilvl w:val="0"/>
          <w:numId w:val="30"/>
        </w:numPr>
        <w:jc w:val="both"/>
        <w:rPr>
          <w:rFonts w:ascii="Rockwell" w:eastAsia="Times New Roman" w:hAnsi="Rockwell" w:cs="Times New Roman"/>
          <w:sz w:val="24"/>
          <w:szCs w:val="24"/>
          <w:highlight w:val="white"/>
        </w:rPr>
      </w:pPr>
      <w:r w:rsidRPr="00163CD9">
        <w:rPr>
          <w:rFonts w:ascii="Rockwell" w:eastAsia="Times New Roman" w:hAnsi="Rockwell" w:cs="Times New Roman"/>
          <w:sz w:val="24"/>
          <w:szCs w:val="24"/>
          <w:highlight w:val="white"/>
        </w:rPr>
        <w:t>Inspections, consultation and reporting to stakeholders on progress</w:t>
      </w:r>
    </w:p>
    <w:p w:rsidR="008B2B4F" w:rsidRPr="008B2B4F" w:rsidRDefault="008B2B4F" w:rsidP="008B2B4F">
      <w:pPr>
        <w:pStyle w:val="ListParagraph"/>
        <w:numPr>
          <w:ilvl w:val="0"/>
          <w:numId w:val="30"/>
        </w:numPr>
        <w:jc w:val="both"/>
        <w:rPr>
          <w:rFonts w:ascii="Rockwell" w:eastAsia="Times New Roman" w:hAnsi="Rockwell" w:cs="Times New Roman"/>
          <w:sz w:val="24"/>
          <w:szCs w:val="24"/>
          <w:highlight w:val="white"/>
        </w:rPr>
      </w:pPr>
      <w:r>
        <w:rPr>
          <w:rFonts w:ascii="Rockwell" w:eastAsia="Times New Roman" w:hAnsi="Rockwell" w:cs="Times New Roman"/>
          <w:sz w:val="24"/>
          <w:szCs w:val="24"/>
          <w:highlight w:val="white"/>
        </w:rPr>
        <w:t xml:space="preserve">Implementation of an agreed after use plan </w:t>
      </w:r>
    </w:p>
    <w:p w:rsidR="008E29E3" w:rsidRDefault="008E29E3" w:rsidP="00163CD9">
      <w:pPr>
        <w:pStyle w:val="ListParagraph"/>
        <w:numPr>
          <w:ilvl w:val="0"/>
          <w:numId w:val="30"/>
        </w:numPr>
        <w:jc w:val="both"/>
        <w:rPr>
          <w:rFonts w:ascii="Rockwell" w:eastAsia="Times New Roman" w:hAnsi="Rockwell" w:cs="Times New Roman"/>
          <w:sz w:val="24"/>
          <w:szCs w:val="24"/>
          <w:highlight w:val="white"/>
        </w:rPr>
      </w:pPr>
      <w:r w:rsidRPr="00163CD9">
        <w:rPr>
          <w:rFonts w:ascii="Rockwell" w:eastAsia="Times New Roman" w:hAnsi="Rockwell" w:cs="Times New Roman"/>
          <w:sz w:val="24"/>
          <w:szCs w:val="24"/>
          <w:highlight w:val="white"/>
        </w:rPr>
        <w:t>Staged and progressive community and government sign-off</w:t>
      </w:r>
      <w:r w:rsidR="00896762">
        <w:rPr>
          <w:rFonts w:ascii="Rockwell" w:eastAsia="Times New Roman" w:hAnsi="Rockwell" w:cs="Times New Roman"/>
          <w:sz w:val="24"/>
          <w:szCs w:val="24"/>
          <w:highlight w:val="white"/>
        </w:rPr>
        <w:t xml:space="preserve"> </w:t>
      </w:r>
    </w:p>
    <w:p w:rsidR="008E29E3" w:rsidRPr="004A76D7" w:rsidRDefault="00FE3589" w:rsidP="000E7DFC">
      <w:pPr>
        <w:pStyle w:val="Heading3"/>
        <w:jc w:val="both"/>
        <w:rPr>
          <w:rFonts w:ascii="Rockwell" w:eastAsia="Times New Roman" w:hAnsi="Rockwell" w:cs="Times New Roman"/>
          <w:b/>
          <w:sz w:val="24"/>
          <w:szCs w:val="24"/>
        </w:rPr>
      </w:pPr>
      <w:bookmarkStart w:id="52" w:name="_Toc209047139"/>
      <w:r>
        <w:rPr>
          <w:rFonts w:ascii="Rockwell" w:eastAsia="Times New Roman" w:hAnsi="Rockwell" w:cs="Times New Roman"/>
          <w:b/>
          <w:sz w:val="24"/>
          <w:szCs w:val="24"/>
        </w:rPr>
        <w:t xml:space="preserve">r) </w:t>
      </w:r>
      <w:r w:rsidR="008E29E3" w:rsidRPr="004A76D7">
        <w:rPr>
          <w:rFonts w:ascii="Rockwell" w:eastAsia="Times New Roman" w:hAnsi="Rockwell" w:cs="Times New Roman"/>
          <w:b/>
          <w:sz w:val="24"/>
          <w:szCs w:val="24"/>
        </w:rPr>
        <w:t>Identification of Closure Obligations and Commitments</w:t>
      </w:r>
      <w:bookmarkEnd w:id="52"/>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All legal obligations relevant to rehabilitation and closu</w:t>
      </w:r>
      <w:r w:rsidR="003501B1" w:rsidRPr="004A76D7">
        <w:rPr>
          <w:rFonts w:ascii="Rockwell" w:eastAsia="Times New Roman" w:hAnsi="Rockwell" w:cs="Times New Roman"/>
          <w:sz w:val="24"/>
          <w:szCs w:val="24"/>
        </w:rPr>
        <w:t xml:space="preserve">re at a given mine site must be </w:t>
      </w:r>
      <w:r w:rsidRPr="004A76D7">
        <w:rPr>
          <w:rFonts w:ascii="Rockwell" w:eastAsia="Times New Roman" w:hAnsi="Rockwell" w:cs="Times New Roman"/>
          <w:sz w:val="24"/>
          <w:szCs w:val="24"/>
        </w:rPr>
        <w:t>identified and provided in a suitable format. These include</w:t>
      </w:r>
      <w:r w:rsidR="003501B1" w:rsidRPr="004A76D7">
        <w:rPr>
          <w:rFonts w:ascii="Rockwell" w:eastAsia="Times New Roman" w:hAnsi="Rockwell" w:cs="Times New Roman"/>
          <w:sz w:val="24"/>
          <w:szCs w:val="24"/>
        </w:rPr>
        <w:t xml:space="preserve"> all legally binding conditions </w:t>
      </w:r>
      <w:r w:rsidRPr="004A76D7">
        <w:rPr>
          <w:rFonts w:ascii="Rockwell" w:eastAsia="Times New Roman" w:hAnsi="Rockwell" w:cs="Times New Roman"/>
          <w:sz w:val="24"/>
          <w:szCs w:val="24"/>
        </w:rPr>
        <w:t>and commitments and/or legal obligations applicable under relevant</w:t>
      </w:r>
      <w:r w:rsidR="003501B1" w:rsidRPr="004A76D7">
        <w:rPr>
          <w:rFonts w:ascii="Rockwell" w:eastAsia="Times New Roman" w:hAnsi="Rockwell" w:cs="Times New Roman"/>
          <w:sz w:val="24"/>
          <w:szCs w:val="24"/>
        </w:rPr>
        <w:t xml:space="preserve"> National and </w:t>
      </w:r>
      <w:r w:rsidRPr="004A76D7">
        <w:rPr>
          <w:rFonts w:ascii="Rockwell" w:eastAsia="Times New Roman" w:hAnsi="Rockwell" w:cs="Times New Roman"/>
          <w:sz w:val="24"/>
          <w:szCs w:val="24"/>
        </w:rPr>
        <w:t>County legislation. These include:</w:t>
      </w:r>
    </w:p>
    <w:p w:rsidR="008E29E3" w:rsidRPr="004A76D7" w:rsidRDefault="007831E7" w:rsidP="000E7DFC">
      <w:pPr>
        <w:spacing w:before="240" w:after="240"/>
        <w:ind w:left="360"/>
        <w:jc w:val="both"/>
        <w:rPr>
          <w:rFonts w:ascii="Rockwell" w:eastAsia="Times New Roman" w:hAnsi="Rockwell" w:cs="Times New Roman"/>
          <w:sz w:val="24"/>
          <w:szCs w:val="24"/>
        </w:rPr>
      </w:pPr>
      <w:r>
        <w:rPr>
          <w:rFonts w:ascii="Rockwell" w:eastAsia="Times New Roman" w:hAnsi="Rockwell" w:cs="Times New Roman"/>
          <w:sz w:val="24"/>
          <w:szCs w:val="24"/>
        </w:rPr>
        <w:t>(</w:t>
      </w:r>
      <w:proofErr w:type="spellStart"/>
      <w:r>
        <w:rPr>
          <w:rFonts w:ascii="Rockwell" w:eastAsia="Times New Roman" w:hAnsi="Rockwell" w:cs="Times New Roman"/>
          <w:sz w:val="24"/>
          <w:szCs w:val="24"/>
        </w:rPr>
        <w:t>i</w:t>
      </w:r>
      <w:proofErr w:type="spellEnd"/>
      <w:r>
        <w:rPr>
          <w:rFonts w:ascii="Rockwell" w:eastAsia="Times New Roman" w:hAnsi="Rockwell" w:cs="Times New Roman"/>
          <w:sz w:val="24"/>
          <w:szCs w:val="24"/>
        </w:rPr>
        <w:t>). The Mining Act, Cap 306</w:t>
      </w:r>
      <w:r w:rsidR="00FE3589">
        <w:rPr>
          <w:rFonts w:ascii="Rockwell" w:eastAsia="Times New Roman" w:hAnsi="Rockwell" w:cs="Times New Roman"/>
          <w:sz w:val="24"/>
          <w:szCs w:val="24"/>
        </w:rPr>
        <w:t xml:space="preserve"> and the subsidiary legislations</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(ii). Environmental M</w:t>
      </w:r>
      <w:r w:rsidR="00FE3589">
        <w:rPr>
          <w:rFonts w:ascii="Rockwell" w:eastAsia="Times New Roman" w:hAnsi="Rockwell" w:cs="Times New Roman"/>
          <w:sz w:val="24"/>
          <w:szCs w:val="24"/>
        </w:rPr>
        <w:t>anagement Coordination Act, Cap 387 and the subsidiary legislations</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(iii). Occ</w:t>
      </w:r>
      <w:r w:rsidR="007831E7">
        <w:rPr>
          <w:rFonts w:ascii="Rockwell" w:eastAsia="Times New Roman" w:hAnsi="Rockwell" w:cs="Times New Roman"/>
          <w:sz w:val="24"/>
          <w:szCs w:val="24"/>
        </w:rPr>
        <w:t>upational Safety and Health Act</w:t>
      </w:r>
      <w:r w:rsidRPr="004A76D7">
        <w:rPr>
          <w:rFonts w:ascii="Rockwell" w:eastAsia="Times New Roman" w:hAnsi="Rockwell" w:cs="Times New Roman"/>
          <w:sz w:val="24"/>
          <w:szCs w:val="24"/>
        </w:rPr>
        <w:t>, 2007</w:t>
      </w:r>
      <w:r w:rsidR="00FE3589">
        <w:rPr>
          <w:rFonts w:ascii="Rockwell" w:eastAsia="Times New Roman" w:hAnsi="Rockwell" w:cs="Times New Roman"/>
          <w:sz w:val="24"/>
          <w:szCs w:val="24"/>
        </w:rPr>
        <w:t xml:space="preserve"> and the subsidiary legislations</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(iv).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Water Act, 2016</w:t>
      </w:r>
      <w:r w:rsidR="00FE3589">
        <w:rPr>
          <w:rFonts w:ascii="Rockwell" w:eastAsia="Times New Roman" w:hAnsi="Rockwell" w:cs="Times New Roman"/>
          <w:sz w:val="24"/>
          <w:szCs w:val="24"/>
        </w:rPr>
        <w:t xml:space="preserve"> </w:t>
      </w:r>
    </w:p>
    <w:p w:rsidR="008E29E3"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(v). The Land Act, 2012</w:t>
      </w:r>
    </w:p>
    <w:p w:rsidR="00FE3589" w:rsidRPr="004A76D7" w:rsidRDefault="00FE3589" w:rsidP="000E7DFC">
      <w:pPr>
        <w:spacing w:before="240" w:after="240"/>
        <w:ind w:left="360"/>
        <w:jc w:val="both"/>
        <w:rPr>
          <w:rFonts w:ascii="Rockwell" w:eastAsia="Times New Roman" w:hAnsi="Rockwell" w:cs="Times New Roman"/>
          <w:sz w:val="24"/>
          <w:szCs w:val="24"/>
        </w:rPr>
      </w:pPr>
      <w:proofErr w:type="gramStart"/>
      <w:r>
        <w:rPr>
          <w:rFonts w:ascii="Rockwell" w:eastAsia="Times New Roman" w:hAnsi="Rockwell" w:cs="Times New Roman"/>
          <w:sz w:val="24"/>
          <w:szCs w:val="24"/>
        </w:rPr>
        <w:t>(vi)</w:t>
      </w:r>
      <w:proofErr w:type="gramEnd"/>
      <w:r>
        <w:rPr>
          <w:rFonts w:ascii="Rockwell" w:eastAsia="Times New Roman" w:hAnsi="Rockwell" w:cs="Times New Roman"/>
          <w:sz w:val="24"/>
          <w:szCs w:val="24"/>
        </w:rPr>
        <w:t>. Community land Act, 2016</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lastRenderedPageBreak/>
        <w:t>(v</w:t>
      </w:r>
      <w:r w:rsidR="00FE3589">
        <w:rPr>
          <w:rFonts w:ascii="Rockwell" w:eastAsia="Times New Roman" w:hAnsi="Rockwell" w:cs="Times New Roman"/>
          <w:sz w:val="24"/>
          <w:szCs w:val="24"/>
        </w:rPr>
        <w:t>i</w:t>
      </w:r>
      <w:r w:rsidRPr="004A76D7">
        <w:rPr>
          <w:rFonts w:ascii="Rockwell" w:eastAsia="Times New Roman" w:hAnsi="Rockwell" w:cs="Times New Roman"/>
          <w:sz w:val="24"/>
          <w:szCs w:val="24"/>
        </w:rPr>
        <w:t>i). The Physical and Land Use Planning Act, 2019</w:t>
      </w:r>
    </w:p>
    <w:p w:rsidR="008E29E3"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(vii</w:t>
      </w:r>
      <w:r w:rsidR="00FE3589">
        <w:rPr>
          <w:rFonts w:ascii="Rockwell" w:eastAsia="Times New Roman" w:hAnsi="Rockwell" w:cs="Times New Roman"/>
          <w:sz w:val="24"/>
          <w:szCs w:val="24"/>
        </w:rPr>
        <w:t>i</w:t>
      </w:r>
      <w:r w:rsidRPr="004A76D7">
        <w:rPr>
          <w:rFonts w:ascii="Rockwell" w:eastAsia="Times New Roman" w:hAnsi="Rockwell" w:cs="Times New Roman"/>
          <w:sz w:val="24"/>
          <w:szCs w:val="24"/>
        </w:rPr>
        <w:t>). Agriculture Fisheries and Food Authority Act, CAP 318</w:t>
      </w:r>
    </w:p>
    <w:p w:rsidR="007831E7" w:rsidRPr="004A76D7" w:rsidRDefault="00FE3589" w:rsidP="000E7DFC">
      <w:pPr>
        <w:spacing w:before="240" w:after="240"/>
        <w:ind w:left="360"/>
        <w:jc w:val="both"/>
        <w:rPr>
          <w:rFonts w:ascii="Rockwell" w:eastAsia="Times New Roman" w:hAnsi="Rockwell" w:cs="Times New Roman"/>
          <w:sz w:val="24"/>
          <w:szCs w:val="24"/>
        </w:rPr>
      </w:pPr>
      <w:r>
        <w:rPr>
          <w:rFonts w:ascii="Rockwell" w:eastAsia="Times New Roman" w:hAnsi="Rockwell" w:cs="Times New Roman"/>
          <w:sz w:val="24"/>
          <w:szCs w:val="24"/>
        </w:rPr>
        <w:t>(ix</w:t>
      </w:r>
      <w:r w:rsidR="007831E7">
        <w:rPr>
          <w:rFonts w:ascii="Rockwell" w:eastAsia="Times New Roman" w:hAnsi="Rockwell" w:cs="Times New Roman"/>
          <w:sz w:val="24"/>
          <w:szCs w:val="24"/>
        </w:rPr>
        <w:t>) Kenya National Commission on Human Rights Act, 2011</w:t>
      </w:r>
    </w:p>
    <w:p w:rsidR="008E29E3" w:rsidRPr="004A76D7" w:rsidRDefault="00FE3589" w:rsidP="000E7DFC">
      <w:pPr>
        <w:spacing w:before="240" w:after="240"/>
        <w:ind w:left="360"/>
        <w:jc w:val="both"/>
        <w:rPr>
          <w:rFonts w:ascii="Rockwell" w:eastAsia="Times New Roman" w:hAnsi="Rockwell" w:cs="Times New Roman"/>
          <w:sz w:val="24"/>
          <w:szCs w:val="24"/>
        </w:rPr>
      </w:pPr>
      <w:r>
        <w:rPr>
          <w:rFonts w:ascii="Rockwell" w:eastAsia="Times New Roman" w:hAnsi="Rockwell" w:cs="Times New Roman"/>
          <w:sz w:val="24"/>
          <w:szCs w:val="24"/>
        </w:rPr>
        <w:t>(</w:t>
      </w:r>
      <w:r w:rsidR="007831E7">
        <w:rPr>
          <w:rFonts w:ascii="Rockwell" w:eastAsia="Times New Roman" w:hAnsi="Rockwell" w:cs="Times New Roman"/>
          <w:sz w:val="24"/>
          <w:szCs w:val="24"/>
        </w:rPr>
        <w:t>x</w:t>
      </w:r>
      <w:r w:rsidR="008E29E3" w:rsidRPr="004A76D7">
        <w:rPr>
          <w:rFonts w:ascii="Rockwell" w:eastAsia="Times New Roman" w:hAnsi="Rockwell" w:cs="Times New Roman"/>
          <w:sz w:val="24"/>
          <w:szCs w:val="24"/>
        </w:rPr>
        <w:t>). Conditions prescribed in the ESIA license</w:t>
      </w:r>
    </w:p>
    <w:p w:rsidR="00FE3589" w:rsidRDefault="007831E7" w:rsidP="00FE3589">
      <w:pPr>
        <w:spacing w:before="240" w:after="240"/>
        <w:ind w:left="360"/>
        <w:jc w:val="both"/>
        <w:rPr>
          <w:rFonts w:ascii="Rockwell" w:eastAsia="Times New Roman" w:hAnsi="Rockwell" w:cs="Times New Roman"/>
          <w:sz w:val="24"/>
          <w:szCs w:val="24"/>
        </w:rPr>
      </w:pPr>
      <w:r>
        <w:rPr>
          <w:rFonts w:ascii="Rockwell" w:eastAsia="Times New Roman" w:hAnsi="Rockwell" w:cs="Times New Roman"/>
          <w:sz w:val="24"/>
          <w:szCs w:val="24"/>
        </w:rPr>
        <w:t>(</w:t>
      </w:r>
      <w:r w:rsidR="008E29E3" w:rsidRPr="004A76D7">
        <w:rPr>
          <w:rFonts w:ascii="Rockwell" w:eastAsia="Times New Roman" w:hAnsi="Rockwell" w:cs="Times New Roman"/>
          <w:sz w:val="24"/>
          <w:szCs w:val="24"/>
        </w:rPr>
        <w:t>x</w:t>
      </w:r>
      <w:r w:rsidR="00FE3589">
        <w:rPr>
          <w:rFonts w:ascii="Rockwell" w:eastAsia="Times New Roman" w:hAnsi="Rockwell" w:cs="Times New Roman"/>
          <w:sz w:val="24"/>
          <w:szCs w:val="24"/>
        </w:rPr>
        <w:t>i</w:t>
      </w:r>
      <w:r w:rsidR="008E29E3" w:rsidRPr="004A76D7">
        <w:rPr>
          <w:rFonts w:ascii="Rockwell" w:eastAsia="Times New Roman" w:hAnsi="Rockwell" w:cs="Times New Roman"/>
          <w:sz w:val="24"/>
          <w:szCs w:val="24"/>
        </w:rPr>
        <w:t>). Environmental Re</w:t>
      </w:r>
      <w:r w:rsidR="00FE3589">
        <w:rPr>
          <w:rFonts w:ascii="Rockwell" w:eastAsia="Times New Roman" w:hAnsi="Rockwell" w:cs="Times New Roman"/>
          <w:sz w:val="24"/>
          <w:szCs w:val="24"/>
        </w:rPr>
        <w:t xml:space="preserve">storation </w:t>
      </w:r>
      <w:r w:rsidR="008E29E3" w:rsidRPr="004A76D7">
        <w:rPr>
          <w:rFonts w:ascii="Rockwell" w:eastAsia="Times New Roman" w:hAnsi="Rockwell" w:cs="Times New Roman"/>
          <w:sz w:val="24"/>
          <w:szCs w:val="24"/>
        </w:rPr>
        <w:t>Orders and Improvement Orders</w:t>
      </w:r>
    </w:p>
    <w:p w:rsidR="00FE3589" w:rsidRPr="004A76D7" w:rsidRDefault="00FE3589" w:rsidP="00FE3589">
      <w:pPr>
        <w:spacing w:before="240" w:after="240"/>
        <w:ind w:left="360"/>
        <w:jc w:val="both"/>
        <w:rPr>
          <w:rFonts w:ascii="Rockwell" w:eastAsia="Times New Roman" w:hAnsi="Rockwell" w:cs="Times New Roman"/>
          <w:sz w:val="24"/>
          <w:szCs w:val="24"/>
        </w:rPr>
      </w:pPr>
      <w:r>
        <w:rPr>
          <w:rFonts w:ascii="Rockwell" w:eastAsia="Times New Roman" w:hAnsi="Rockwell" w:cs="Times New Roman"/>
          <w:sz w:val="24"/>
          <w:szCs w:val="24"/>
        </w:rPr>
        <w:t>(xii) Conditions prescribed in the Mining licenses / permits</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(x</w:t>
      </w:r>
      <w:r w:rsidR="007831E7">
        <w:rPr>
          <w:rFonts w:ascii="Rockwell" w:eastAsia="Times New Roman" w:hAnsi="Rockwell" w:cs="Times New Roman"/>
          <w:sz w:val="24"/>
          <w:szCs w:val="24"/>
        </w:rPr>
        <w:t>i</w:t>
      </w:r>
      <w:r w:rsidR="00FE3589">
        <w:rPr>
          <w:rFonts w:ascii="Rockwell" w:eastAsia="Times New Roman" w:hAnsi="Rockwell" w:cs="Times New Roman"/>
          <w:sz w:val="24"/>
          <w:szCs w:val="24"/>
        </w:rPr>
        <w:t>ii</w:t>
      </w:r>
      <w:r w:rsidRPr="004A76D7">
        <w:rPr>
          <w:rFonts w:ascii="Rockwell" w:eastAsia="Times New Roman" w:hAnsi="Rockwell" w:cs="Times New Roman"/>
          <w:sz w:val="24"/>
          <w:szCs w:val="24"/>
        </w:rPr>
        <w:t xml:space="preserve">).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decommissioning specifications and standards (Na</w:t>
      </w:r>
      <w:r w:rsidR="003501B1" w:rsidRPr="004A76D7">
        <w:rPr>
          <w:rFonts w:ascii="Rockwell" w:eastAsia="Times New Roman" w:hAnsi="Rockwell" w:cs="Times New Roman"/>
          <w:sz w:val="24"/>
          <w:szCs w:val="24"/>
        </w:rPr>
        <w:t xml:space="preserve">tional and International best </w:t>
      </w:r>
      <w:r w:rsidRPr="004A76D7">
        <w:rPr>
          <w:rFonts w:ascii="Rockwell" w:eastAsia="Times New Roman" w:hAnsi="Rockwell" w:cs="Times New Roman"/>
          <w:sz w:val="24"/>
          <w:szCs w:val="24"/>
        </w:rPr>
        <w:t>practices).</w:t>
      </w:r>
    </w:p>
    <w:p w:rsidR="008E29E3" w:rsidRPr="004A76D7" w:rsidRDefault="00FE3589" w:rsidP="000E7DFC">
      <w:pPr>
        <w:pStyle w:val="Heading3"/>
        <w:rPr>
          <w:rFonts w:ascii="Rockwell" w:eastAsia="Times New Roman" w:hAnsi="Rockwell" w:cs="Times New Roman"/>
          <w:b/>
          <w:sz w:val="24"/>
          <w:szCs w:val="24"/>
        </w:rPr>
      </w:pPr>
      <w:bookmarkStart w:id="53" w:name="_Toc209047140"/>
      <w:r>
        <w:rPr>
          <w:rFonts w:ascii="Rockwell" w:eastAsia="Times New Roman" w:hAnsi="Rockwell" w:cs="Times New Roman"/>
          <w:b/>
          <w:sz w:val="24"/>
          <w:szCs w:val="24"/>
        </w:rPr>
        <w:t>s)</w:t>
      </w:r>
      <w:r w:rsidR="008E29E3" w:rsidRPr="004A76D7">
        <w:rPr>
          <w:rFonts w:ascii="Rockwell" w:eastAsia="Times New Roman" w:hAnsi="Rockwell" w:cs="Times New Roman"/>
          <w:b/>
          <w:sz w:val="24"/>
          <w:szCs w:val="24"/>
        </w:rPr>
        <w:t xml:space="preserve"> Engagement with the Project Affected Persons</w:t>
      </w:r>
      <w:r w:rsidR="007831E7">
        <w:rPr>
          <w:rFonts w:ascii="Rockwell" w:eastAsia="Times New Roman" w:hAnsi="Rockwell" w:cs="Times New Roman"/>
          <w:b/>
          <w:sz w:val="24"/>
          <w:szCs w:val="24"/>
        </w:rPr>
        <w:t>,</w:t>
      </w:r>
      <w:r w:rsidR="008E29E3" w:rsidRPr="004A76D7">
        <w:rPr>
          <w:rFonts w:ascii="Rockwell" w:eastAsia="Times New Roman" w:hAnsi="Rockwell" w:cs="Times New Roman"/>
          <w:b/>
          <w:sz w:val="24"/>
          <w:szCs w:val="24"/>
        </w:rPr>
        <w:t xml:space="preserve"> Local Communities and other Stakeholders</w:t>
      </w:r>
      <w:bookmarkEnd w:id="53"/>
    </w:p>
    <w:p w:rsidR="008E29E3" w:rsidRPr="004A76D7" w:rsidRDefault="007831E7" w:rsidP="000E7DFC">
      <w:pPr>
        <w:spacing w:before="240" w:after="240"/>
        <w:ind w:left="360"/>
        <w:jc w:val="both"/>
        <w:rPr>
          <w:rFonts w:ascii="Rockwell" w:eastAsia="Times New Roman" w:hAnsi="Rockwell" w:cs="Times New Roman"/>
          <w:sz w:val="24"/>
          <w:szCs w:val="24"/>
        </w:rPr>
      </w:pPr>
      <w:r>
        <w:rPr>
          <w:rFonts w:ascii="Rockwell" w:eastAsia="Times New Roman" w:hAnsi="Rockwell" w:cs="Times New Roman"/>
          <w:sz w:val="24"/>
          <w:szCs w:val="24"/>
        </w:rPr>
        <w:t xml:space="preserve">The mine operator should </w:t>
      </w:r>
      <w:r w:rsidR="008E29E3" w:rsidRPr="004A76D7">
        <w:rPr>
          <w:rFonts w:ascii="Rockwell" w:eastAsia="Times New Roman" w:hAnsi="Rockwell" w:cs="Times New Roman"/>
          <w:sz w:val="24"/>
          <w:szCs w:val="24"/>
        </w:rPr>
        <w:t xml:space="preserve">identify all the stakeholders </w:t>
      </w:r>
      <w:r w:rsidR="003501B1" w:rsidRPr="004A76D7">
        <w:rPr>
          <w:rFonts w:ascii="Rockwell" w:eastAsia="Times New Roman" w:hAnsi="Rockwell" w:cs="Times New Roman"/>
          <w:sz w:val="24"/>
          <w:szCs w:val="24"/>
        </w:rPr>
        <w:t xml:space="preserve">to be engaged since stakeholder </w:t>
      </w:r>
      <w:r w:rsidR="008E29E3" w:rsidRPr="004A76D7">
        <w:rPr>
          <w:rFonts w:ascii="Rockwell" w:eastAsia="Times New Roman" w:hAnsi="Rockwell" w:cs="Times New Roman"/>
          <w:sz w:val="24"/>
          <w:szCs w:val="24"/>
        </w:rPr>
        <w:t>engagement is a key component of mine site deco</w:t>
      </w:r>
      <w:r w:rsidR="003501B1" w:rsidRPr="004A76D7">
        <w:rPr>
          <w:rFonts w:ascii="Rockwell" w:eastAsia="Times New Roman" w:hAnsi="Rockwell" w:cs="Times New Roman"/>
          <w:sz w:val="24"/>
          <w:szCs w:val="24"/>
        </w:rPr>
        <w:t xml:space="preserve">mmissioning planning. Early and </w:t>
      </w:r>
      <w:r w:rsidR="008E29E3" w:rsidRPr="004A76D7">
        <w:rPr>
          <w:rFonts w:ascii="Rockwell" w:eastAsia="Times New Roman" w:hAnsi="Rockwell" w:cs="Times New Roman"/>
          <w:sz w:val="24"/>
          <w:szCs w:val="24"/>
        </w:rPr>
        <w:t>continuous engagement with stakeholders enables ope</w:t>
      </w:r>
      <w:r w:rsidR="003501B1" w:rsidRPr="004A76D7">
        <w:rPr>
          <w:rFonts w:ascii="Rockwell" w:eastAsia="Times New Roman" w:hAnsi="Rockwell" w:cs="Times New Roman"/>
          <w:sz w:val="24"/>
          <w:szCs w:val="24"/>
        </w:rPr>
        <w:t xml:space="preserve">rators to better understand and </w:t>
      </w:r>
      <w:r w:rsidR="008E29E3" w:rsidRPr="004A76D7">
        <w:rPr>
          <w:rFonts w:ascii="Rockwell" w:eastAsia="Times New Roman" w:hAnsi="Rockwell" w:cs="Times New Roman"/>
          <w:sz w:val="24"/>
          <w:szCs w:val="24"/>
        </w:rPr>
        <w:t xml:space="preserve">manage stakeholder expectations and the potential </w:t>
      </w:r>
      <w:r w:rsidR="00156FEA">
        <w:rPr>
          <w:rFonts w:ascii="Rockwell" w:eastAsia="Times New Roman" w:hAnsi="Rockwell" w:cs="Times New Roman"/>
          <w:sz w:val="24"/>
          <w:szCs w:val="24"/>
        </w:rPr>
        <w:t xml:space="preserve">adverse impacts such as safety, health, livelihoods, </w:t>
      </w:r>
      <w:proofErr w:type="gramStart"/>
      <w:r w:rsidR="00156FEA">
        <w:rPr>
          <w:rFonts w:ascii="Rockwell" w:eastAsia="Times New Roman" w:hAnsi="Rockwell" w:cs="Times New Roman"/>
          <w:sz w:val="24"/>
          <w:szCs w:val="24"/>
        </w:rPr>
        <w:t>social</w:t>
      </w:r>
      <w:proofErr w:type="gramEnd"/>
      <w:r w:rsidR="00156FEA">
        <w:rPr>
          <w:rFonts w:ascii="Rockwell" w:eastAsia="Times New Roman" w:hAnsi="Rockwell" w:cs="Times New Roman"/>
          <w:sz w:val="24"/>
          <w:szCs w:val="24"/>
        </w:rPr>
        <w:t xml:space="preserve"> amenities </w:t>
      </w:r>
      <w:r w:rsidR="008E29E3" w:rsidRPr="004A76D7">
        <w:rPr>
          <w:rFonts w:ascii="Rockwell" w:eastAsia="Times New Roman" w:hAnsi="Rockwell" w:cs="Times New Roman"/>
          <w:sz w:val="24"/>
          <w:szCs w:val="24"/>
        </w:rPr>
        <w:t>associated with closure.</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Failure to undertake a stakeholder engagement prog</w:t>
      </w:r>
      <w:r w:rsidR="003501B1" w:rsidRPr="004A76D7">
        <w:rPr>
          <w:rFonts w:ascii="Rockwell" w:eastAsia="Times New Roman" w:hAnsi="Rockwell" w:cs="Times New Roman"/>
          <w:sz w:val="24"/>
          <w:szCs w:val="24"/>
        </w:rPr>
        <w:t xml:space="preserve">ram may compromise the approval </w:t>
      </w:r>
      <w:r w:rsidRPr="004A76D7">
        <w:rPr>
          <w:rFonts w:ascii="Rockwell" w:eastAsia="Times New Roman" w:hAnsi="Rockwell" w:cs="Times New Roman"/>
          <w:sz w:val="24"/>
          <w:szCs w:val="24"/>
        </w:rPr>
        <w:t>process and mine closure outcomes.</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Mine site decommissioning plan reporting requires </w:t>
      </w:r>
      <w:r w:rsidR="003501B1" w:rsidRPr="004A76D7">
        <w:rPr>
          <w:rFonts w:ascii="Rockwell" w:eastAsia="Times New Roman" w:hAnsi="Rockwell" w:cs="Times New Roman"/>
          <w:sz w:val="24"/>
          <w:szCs w:val="24"/>
        </w:rPr>
        <w:t xml:space="preserve">that a tabulated summary on all </w:t>
      </w:r>
      <w:r w:rsidRPr="004A76D7">
        <w:rPr>
          <w:rFonts w:ascii="Rockwell" w:eastAsia="Times New Roman" w:hAnsi="Rockwell" w:cs="Times New Roman"/>
          <w:sz w:val="24"/>
          <w:szCs w:val="24"/>
        </w:rPr>
        <w:t>engagement between the operator and the relevant</w:t>
      </w:r>
      <w:r w:rsidR="003501B1" w:rsidRPr="004A76D7">
        <w:rPr>
          <w:rFonts w:ascii="Rockwell" w:eastAsia="Times New Roman" w:hAnsi="Rockwell" w:cs="Times New Roman"/>
          <w:sz w:val="24"/>
          <w:szCs w:val="24"/>
        </w:rPr>
        <w:t xml:space="preserve"> parties be provided. It should </w:t>
      </w:r>
      <w:r w:rsidRPr="004A76D7">
        <w:rPr>
          <w:rFonts w:ascii="Rockwell" w:eastAsia="Times New Roman" w:hAnsi="Rockwell" w:cs="Times New Roman"/>
          <w:sz w:val="24"/>
          <w:szCs w:val="24"/>
        </w:rPr>
        <w:t>include:</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w:t>
      </w:r>
      <w:proofErr w:type="spellStart"/>
      <w:r w:rsidRPr="004A76D7">
        <w:rPr>
          <w:rFonts w:ascii="Rockwell" w:eastAsia="Times New Roman" w:hAnsi="Rockwell" w:cs="Times New Roman"/>
          <w:sz w:val="24"/>
          <w:szCs w:val="24"/>
        </w:rPr>
        <w:t>i</w:t>
      </w:r>
      <w:proofErr w:type="spellEnd"/>
      <w:r w:rsidRPr="004A76D7">
        <w:rPr>
          <w:rFonts w:ascii="Rockwell" w:eastAsia="Times New Roman" w:hAnsi="Rockwell" w:cs="Times New Roman"/>
          <w:sz w:val="24"/>
          <w:szCs w:val="24"/>
        </w:rPr>
        <w:t>). Date of engagement;</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(ii). A description of the nature of the engagement;</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(iii). Level of information provided to stakeholders;</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(iv). </w:t>
      </w:r>
      <w:proofErr w:type="gramStart"/>
      <w:r w:rsidRPr="004A76D7">
        <w:rPr>
          <w:rFonts w:ascii="Rockwell" w:eastAsia="Times New Roman" w:hAnsi="Rockwell" w:cs="Times New Roman"/>
          <w:sz w:val="24"/>
          <w:szCs w:val="24"/>
        </w:rPr>
        <w:t>Who</w:t>
      </w:r>
      <w:proofErr w:type="gramEnd"/>
      <w:r w:rsidRPr="004A76D7">
        <w:rPr>
          <w:rFonts w:ascii="Rockwell" w:eastAsia="Times New Roman" w:hAnsi="Rockwell" w:cs="Times New Roman"/>
          <w:sz w:val="24"/>
          <w:szCs w:val="24"/>
        </w:rPr>
        <w:t xml:space="preserve"> the stakeholders were;</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(v).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comments and issues raised by the stakeholders;</w:t>
      </w:r>
    </w:p>
    <w:p w:rsidR="008E29E3" w:rsidRPr="004A76D7" w:rsidRDefault="008E29E3" w:rsidP="000E7DFC">
      <w:pPr>
        <w:spacing w:before="240" w:after="240"/>
        <w:ind w:left="360"/>
        <w:jc w:val="both"/>
        <w:rPr>
          <w:rFonts w:ascii="Rockwell" w:eastAsia="Times New Roman" w:hAnsi="Rockwell" w:cs="Times New Roman"/>
          <w:sz w:val="24"/>
          <w:szCs w:val="24"/>
        </w:rPr>
      </w:pPr>
      <w:proofErr w:type="gramStart"/>
      <w:r w:rsidRPr="004A76D7">
        <w:rPr>
          <w:rFonts w:ascii="Rockwell" w:eastAsia="Times New Roman" w:hAnsi="Rockwell" w:cs="Times New Roman"/>
          <w:sz w:val="24"/>
          <w:szCs w:val="24"/>
        </w:rPr>
        <w:t>(vi)</w:t>
      </w:r>
      <w:proofErr w:type="gramEnd"/>
      <w:r w:rsidRPr="004A76D7">
        <w:rPr>
          <w:rFonts w:ascii="Rockwell" w:eastAsia="Times New Roman" w:hAnsi="Rockwell" w:cs="Times New Roman"/>
          <w:sz w:val="24"/>
          <w:szCs w:val="24"/>
        </w:rPr>
        <w:t>. How the operator has responded to the c</w:t>
      </w:r>
      <w:r w:rsidR="003501B1" w:rsidRPr="004A76D7">
        <w:rPr>
          <w:rFonts w:ascii="Rockwell" w:eastAsia="Times New Roman" w:hAnsi="Rockwell" w:cs="Times New Roman"/>
          <w:sz w:val="24"/>
          <w:szCs w:val="24"/>
        </w:rPr>
        <w:t xml:space="preserve">oncerns raised and report the stakeholder </w:t>
      </w:r>
      <w:r w:rsidRPr="004A76D7">
        <w:rPr>
          <w:rFonts w:ascii="Rockwell" w:eastAsia="Times New Roman" w:hAnsi="Rockwell" w:cs="Times New Roman"/>
          <w:sz w:val="24"/>
          <w:szCs w:val="24"/>
        </w:rPr>
        <w:t>response to the proposed resolution; and</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(vii). Evidence of the stakeholder engagements and pro</w:t>
      </w:r>
      <w:r w:rsidR="003501B1" w:rsidRPr="004A76D7">
        <w:rPr>
          <w:rFonts w:ascii="Rockwell" w:eastAsia="Times New Roman" w:hAnsi="Rockwell" w:cs="Times New Roman"/>
          <w:sz w:val="24"/>
          <w:szCs w:val="24"/>
        </w:rPr>
        <w:t xml:space="preserve">cess. This should be in form of </w:t>
      </w:r>
      <w:r w:rsidRPr="004A76D7">
        <w:rPr>
          <w:rFonts w:ascii="Rockwell" w:eastAsia="Times New Roman" w:hAnsi="Rockwell" w:cs="Times New Roman"/>
          <w:sz w:val="24"/>
          <w:szCs w:val="24"/>
        </w:rPr>
        <w:t>attendance lists, minutes, pictorials and videography.</w:t>
      </w:r>
    </w:p>
    <w:p w:rsidR="008E29E3" w:rsidRPr="004A76D7" w:rsidRDefault="007831E7" w:rsidP="000E7DFC">
      <w:pPr>
        <w:spacing w:before="240" w:after="240"/>
        <w:ind w:left="360"/>
        <w:jc w:val="both"/>
        <w:rPr>
          <w:rFonts w:ascii="Rockwell" w:eastAsia="Times New Roman" w:hAnsi="Rockwell" w:cs="Times New Roman"/>
          <w:sz w:val="24"/>
          <w:szCs w:val="24"/>
        </w:rPr>
      </w:pPr>
      <w:r>
        <w:rPr>
          <w:rFonts w:ascii="Rockwell" w:eastAsia="Times New Roman" w:hAnsi="Rockwell" w:cs="Times New Roman"/>
          <w:sz w:val="24"/>
          <w:szCs w:val="24"/>
        </w:rPr>
        <w:lastRenderedPageBreak/>
        <w:t xml:space="preserve"> The operator should</w:t>
      </w:r>
      <w:r w:rsidR="008E29E3" w:rsidRPr="004A76D7">
        <w:rPr>
          <w:rFonts w:ascii="Rockwell" w:eastAsia="Times New Roman" w:hAnsi="Rockwell" w:cs="Times New Roman"/>
          <w:sz w:val="24"/>
          <w:szCs w:val="24"/>
        </w:rPr>
        <w:t xml:space="preserve"> ensure that adequate resources are provided/allocated to ensure</w:t>
      </w:r>
      <w:r w:rsidR="003501B1" w:rsidRPr="004A76D7">
        <w:rPr>
          <w:rFonts w:ascii="Rockwell" w:eastAsia="Times New Roman" w:hAnsi="Rockwell" w:cs="Times New Roman"/>
          <w:sz w:val="24"/>
          <w:szCs w:val="24"/>
        </w:rPr>
        <w:t xml:space="preserve"> </w:t>
      </w:r>
      <w:r w:rsidR="008E29E3" w:rsidRPr="004A76D7">
        <w:rPr>
          <w:rFonts w:ascii="Rockwell" w:eastAsia="Times New Roman" w:hAnsi="Rockwell" w:cs="Times New Roman"/>
          <w:sz w:val="24"/>
          <w:szCs w:val="24"/>
        </w:rPr>
        <w:t>effective engagement process.</w:t>
      </w:r>
    </w:p>
    <w:p w:rsidR="008E29E3" w:rsidRPr="004A76D7" w:rsidRDefault="008E29E3" w:rsidP="000E7DFC">
      <w:pPr>
        <w:pStyle w:val="Heading3"/>
        <w:jc w:val="both"/>
        <w:rPr>
          <w:rFonts w:ascii="Rockwell" w:eastAsia="Times New Roman" w:hAnsi="Rockwell" w:cs="Times New Roman"/>
          <w:b/>
          <w:sz w:val="24"/>
          <w:szCs w:val="24"/>
        </w:rPr>
      </w:pPr>
      <w:r w:rsidRPr="004A76D7">
        <w:rPr>
          <w:rFonts w:ascii="Rockwell" w:eastAsia="Times New Roman" w:hAnsi="Rockwell" w:cs="Times New Roman"/>
          <w:sz w:val="24"/>
          <w:szCs w:val="24"/>
        </w:rPr>
        <w:t xml:space="preserve"> </w:t>
      </w:r>
      <w:bookmarkStart w:id="54" w:name="_Toc209047141"/>
      <w:r w:rsidR="00FE3589">
        <w:rPr>
          <w:rFonts w:ascii="Rockwell" w:eastAsia="Times New Roman" w:hAnsi="Rockwell" w:cs="Times New Roman"/>
          <w:b/>
          <w:sz w:val="24"/>
          <w:szCs w:val="24"/>
        </w:rPr>
        <w:t xml:space="preserve">t) </w:t>
      </w:r>
      <w:r w:rsidRPr="004A76D7">
        <w:rPr>
          <w:rFonts w:ascii="Rockwell" w:eastAsia="Times New Roman" w:hAnsi="Rockwell" w:cs="Times New Roman"/>
          <w:b/>
          <w:sz w:val="24"/>
          <w:szCs w:val="24"/>
        </w:rPr>
        <w:t>Post closure Audits and Monitoring Responsibilities</w:t>
      </w:r>
      <w:bookmarkEnd w:id="54"/>
    </w:p>
    <w:p w:rsidR="008E29E3" w:rsidRPr="004A76D7" w:rsidRDefault="008E29E3"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It's important to revisit the Post Closure/Remediation Goals and Outcomes on a periodic basis. This will require periodic reassessment of the post-closure/Remediation goals and outcomes in light of changing environmental, social or economic circumstances and community expectations. </w:t>
      </w:r>
    </w:p>
    <w:p w:rsidR="003501B1" w:rsidRPr="004A76D7" w:rsidRDefault="008E29E3"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Unless prescribed by the Authority on a case by case basis, the mine operator sh</w:t>
      </w:r>
      <w:r w:rsidR="00C0713F">
        <w:rPr>
          <w:rFonts w:ascii="Rockwell" w:eastAsia="Times New Roman" w:hAnsi="Rockwell" w:cs="Times New Roman"/>
          <w:sz w:val="24"/>
          <w:szCs w:val="24"/>
        </w:rPr>
        <w:t xml:space="preserve">ould </w:t>
      </w:r>
      <w:r w:rsidRPr="004A76D7">
        <w:rPr>
          <w:rFonts w:ascii="Rockwell" w:eastAsia="Times New Roman" w:hAnsi="Rockwell" w:cs="Times New Roman"/>
          <w:sz w:val="24"/>
          <w:szCs w:val="24"/>
        </w:rPr>
        <w:t>prepare and submit post closure audits annually to the Authority. The operator sh</w:t>
      </w:r>
      <w:r w:rsidR="00C0713F">
        <w:rPr>
          <w:rFonts w:ascii="Rockwell" w:eastAsia="Times New Roman" w:hAnsi="Rockwell" w:cs="Times New Roman"/>
          <w:sz w:val="24"/>
          <w:szCs w:val="24"/>
        </w:rPr>
        <w:t>ould</w:t>
      </w:r>
      <w:r w:rsidRPr="004A76D7">
        <w:rPr>
          <w:rFonts w:ascii="Rockwell" w:eastAsia="Times New Roman" w:hAnsi="Rockwell" w:cs="Times New Roman"/>
          <w:sz w:val="24"/>
          <w:szCs w:val="24"/>
        </w:rPr>
        <w:t xml:space="preserve"> also monitor environmental elements, parameters and measurable indicators to inform the measurement of environmental changes that have occurred towards achieving the required decommissionin</w:t>
      </w:r>
      <w:r w:rsidR="003501B1" w:rsidRPr="004A76D7">
        <w:rPr>
          <w:rFonts w:ascii="Rockwell" w:eastAsia="Times New Roman" w:hAnsi="Rockwell" w:cs="Times New Roman"/>
          <w:sz w:val="24"/>
          <w:szCs w:val="24"/>
        </w:rPr>
        <w:t>g specifications and standards.</w:t>
      </w:r>
    </w:p>
    <w:p w:rsidR="008E29E3" w:rsidRPr="004A76D7" w:rsidRDefault="008E29E3"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In meeting the required decommissioning specificati</w:t>
      </w:r>
      <w:r w:rsidR="003501B1" w:rsidRPr="004A76D7">
        <w:rPr>
          <w:rFonts w:ascii="Rockwell" w:eastAsia="Times New Roman" w:hAnsi="Rockwell" w:cs="Times New Roman"/>
          <w:sz w:val="24"/>
          <w:szCs w:val="24"/>
        </w:rPr>
        <w:t>ons and standards, the operator</w:t>
      </w:r>
      <w:r w:rsidR="00C0713F">
        <w:rPr>
          <w:rFonts w:ascii="Rockwell" w:eastAsia="Times New Roman" w:hAnsi="Rockwell" w:cs="Times New Roman"/>
          <w:sz w:val="24"/>
          <w:szCs w:val="24"/>
        </w:rPr>
        <w:t xml:space="preserve"> should</w:t>
      </w:r>
      <w:r w:rsidRPr="004A76D7">
        <w:rPr>
          <w:rFonts w:ascii="Rockwell" w:eastAsia="Times New Roman" w:hAnsi="Rockwell" w:cs="Times New Roman"/>
          <w:sz w:val="24"/>
          <w:szCs w:val="24"/>
        </w:rPr>
        <w:t xml:space="preserve"> take into account the following factors:</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w:t>
      </w:r>
      <w:proofErr w:type="spellStart"/>
      <w:r w:rsidRPr="004A76D7">
        <w:rPr>
          <w:rFonts w:ascii="Rockwell" w:eastAsia="Times New Roman" w:hAnsi="Rockwell" w:cs="Times New Roman"/>
          <w:sz w:val="24"/>
          <w:szCs w:val="24"/>
        </w:rPr>
        <w:t>i</w:t>
      </w:r>
      <w:proofErr w:type="spellEnd"/>
      <w:r w:rsidRPr="004A76D7">
        <w:rPr>
          <w:rFonts w:ascii="Rockwell" w:eastAsia="Times New Roman" w:hAnsi="Rockwell" w:cs="Times New Roman"/>
          <w:sz w:val="24"/>
          <w:szCs w:val="24"/>
        </w:rPr>
        <w:t xml:space="preserve">).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public safety of the site;</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(ii).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stability of the site under a range of seasonal co</w:t>
      </w:r>
      <w:r w:rsidR="003501B1" w:rsidRPr="004A76D7">
        <w:rPr>
          <w:rFonts w:ascii="Rockwell" w:eastAsia="Times New Roman" w:hAnsi="Rockwell" w:cs="Times New Roman"/>
          <w:sz w:val="24"/>
          <w:szCs w:val="24"/>
        </w:rPr>
        <w:t xml:space="preserve">nditions representative of that </w:t>
      </w:r>
      <w:r w:rsidRPr="004A76D7">
        <w:rPr>
          <w:rFonts w:ascii="Rockwell" w:eastAsia="Times New Roman" w:hAnsi="Rockwell" w:cs="Times New Roman"/>
          <w:sz w:val="24"/>
          <w:szCs w:val="24"/>
        </w:rPr>
        <w:t>climate;</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(iii). Ecological system recovery at the site;</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(iv).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state of recovery in comparison to the surrounding area;</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(v).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aesthetic value of the site;</w:t>
      </w:r>
    </w:p>
    <w:p w:rsidR="008E29E3" w:rsidRPr="004A76D7" w:rsidRDefault="008E29E3" w:rsidP="000E7DFC">
      <w:pPr>
        <w:spacing w:before="240" w:after="240"/>
        <w:ind w:left="360"/>
        <w:jc w:val="both"/>
        <w:rPr>
          <w:rFonts w:ascii="Rockwell" w:eastAsia="Times New Roman" w:hAnsi="Rockwell" w:cs="Times New Roman"/>
          <w:sz w:val="24"/>
          <w:szCs w:val="24"/>
        </w:rPr>
      </w:pPr>
      <w:proofErr w:type="gramStart"/>
      <w:r w:rsidRPr="004A76D7">
        <w:rPr>
          <w:rFonts w:ascii="Rockwell" w:eastAsia="Times New Roman" w:hAnsi="Rockwell" w:cs="Times New Roman"/>
          <w:sz w:val="24"/>
          <w:szCs w:val="24"/>
        </w:rPr>
        <w:t>(vi)</w:t>
      </w:r>
      <w:proofErr w:type="gramEnd"/>
      <w:r w:rsidRPr="004A76D7">
        <w:rPr>
          <w:rFonts w:ascii="Rockwell" w:eastAsia="Times New Roman" w:hAnsi="Rockwell" w:cs="Times New Roman"/>
          <w:sz w:val="24"/>
          <w:szCs w:val="24"/>
        </w:rPr>
        <w:t>. Sampling and analysis of applicable parameters;</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(vii).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compatible after-use plan of the site and th</w:t>
      </w:r>
      <w:r w:rsidR="003501B1" w:rsidRPr="004A76D7">
        <w:rPr>
          <w:rFonts w:ascii="Rockwell" w:eastAsia="Times New Roman" w:hAnsi="Rockwell" w:cs="Times New Roman"/>
          <w:sz w:val="24"/>
          <w:szCs w:val="24"/>
        </w:rPr>
        <w:t xml:space="preserve">e potential for improved future </w:t>
      </w:r>
      <w:r w:rsidRPr="004A76D7">
        <w:rPr>
          <w:rFonts w:ascii="Rockwell" w:eastAsia="Times New Roman" w:hAnsi="Rockwell" w:cs="Times New Roman"/>
          <w:sz w:val="24"/>
          <w:szCs w:val="24"/>
        </w:rPr>
        <w:t>land use planning and /or site development;</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(viii). Involvement of the PAPs, the local community and other stakeholders; To confirm if communities have diversified their economic base sufficiently to continue as a community post-closure and if social services have been maintained or there is need to consolidate the services with the </w:t>
      </w:r>
      <w:r w:rsidR="00C0713F" w:rsidRPr="004A76D7">
        <w:rPr>
          <w:rFonts w:ascii="Rockwell" w:eastAsia="Times New Roman" w:hAnsi="Rockwell" w:cs="Times New Roman"/>
          <w:sz w:val="24"/>
          <w:szCs w:val="24"/>
        </w:rPr>
        <w:t>neighboring</w:t>
      </w:r>
      <w:r w:rsidRPr="004A76D7">
        <w:rPr>
          <w:rFonts w:ascii="Rockwell" w:eastAsia="Times New Roman" w:hAnsi="Rockwell" w:cs="Times New Roman"/>
          <w:sz w:val="24"/>
          <w:szCs w:val="24"/>
        </w:rPr>
        <w:t xml:space="preserve"> communities.</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(ix).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timescales to meet the required decommissioning standards;</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(x).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remediation of any contaminated sites;</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t>(xi). Operation and monitoring information or</w:t>
      </w:r>
      <w:r w:rsidR="003501B1" w:rsidRPr="004A76D7">
        <w:rPr>
          <w:rFonts w:ascii="Rockwell" w:eastAsia="Times New Roman" w:hAnsi="Rockwell" w:cs="Times New Roman"/>
          <w:sz w:val="24"/>
          <w:szCs w:val="24"/>
        </w:rPr>
        <w:t xml:space="preserve"> other information that meets a </w:t>
      </w:r>
      <w:r w:rsidRPr="004A76D7">
        <w:rPr>
          <w:rFonts w:ascii="Rockwell" w:eastAsia="Times New Roman" w:hAnsi="Rockwell" w:cs="Times New Roman"/>
          <w:sz w:val="24"/>
          <w:szCs w:val="24"/>
        </w:rPr>
        <w:t>specific</w:t>
      </w:r>
      <w:r w:rsidR="003501B1"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purpose (e.g. maps, photos, area statistics, species lists or modeled environmental</w:t>
      </w:r>
      <w:r w:rsidR="003501B1"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impacts); and</w:t>
      </w:r>
    </w:p>
    <w:p w:rsidR="008E29E3" w:rsidRPr="004A76D7" w:rsidRDefault="008E29E3" w:rsidP="000E7DFC">
      <w:pPr>
        <w:spacing w:before="240" w:after="240"/>
        <w:ind w:left="360"/>
        <w:jc w:val="both"/>
        <w:rPr>
          <w:rFonts w:ascii="Rockwell" w:eastAsia="Times New Roman" w:hAnsi="Rockwell" w:cs="Times New Roman"/>
          <w:sz w:val="24"/>
          <w:szCs w:val="24"/>
        </w:rPr>
      </w:pPr>
      <w:r w:rsidRPr="004A76D7">
        <w:rPr>
          <w:rFonts w:ascii="Rockwell" w:eastAsia="Times New Roman" w:hAnsi="Rockwell" w:cs="Times New Roman"/>
          <w:sz w:val="24"/>
          <w:szCs w:val="24"/>
        </w:rPr>
        <w:lastRenderedPageBreak/>
        <w:t>(xii). A history of closure implementation and past developments at the site.</w:t>
      </w:r>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The Aut</w:t>
      </w:r>
      <w:r w:rsidR="002F3767">
        <w:rPr>
          <w:rFonts w:ascii="Rockwell" w:eastAsia="Times New Roman" w:hAnsi="Rockwell" w:cs="Times New Roman"/>
          <w:sz w:val="24"/>
          <w:szCs w:val="24"/>
        </w:rPr>
        <w:t xml:space="preserve">hority in consultation with the </w:t>
      </w:r>
      <w:r w:rsidRPr="004A76D7">
        <w:rPr>
          <w:rFonts w:ascii="Rockwell" w:eastAsia="Times New Roman" w:hAnsi="Rockwell" w:cs="Times New Roman"/>
          <w:sz w:val="24"/>
          <w:szCs w:val="24"/>
        </w:rPr>
        <w:t xml:space="preserve">relevant </w:t>
      </w:r>
      <w:r w:rsidR="002F3767">
        <w:rPr>
          <w:rFonts w:ascii="Rockwell" w:eastAsia="Times New Roman" w:hAnsi="Rockwell" w:cs="Times New Roman"/>
          <w:sz w:val="24"/>
          <w:szCs w:val="24"/>
        </w:rPr>
        <w:t xml:space="preserve">lead </w:t>
      </w:r>
      <w:r w:rsidRPr="004A76D7">
        <w:rPr>
          <w:rFonts w:ascii="Rockwell" w:eastAsia="Times New Roman" w:hAnsi="Rockwell" w:cs="Times New Roman"/>
          <w:sz w:val="24"/>
          <w:szCs w:val="24"/>
        </w:rPr>
        <w:t>ag</w:t>
      </w:r>
      <w:r w:rsidR="003501B1" w:rsidRPr="004A76D7">
        <w:rPr>
          <w:rFonts w:ascii="Rockwell" w:eastAsia="Times New Roman" w:hAnsi="Rockwell" w:cs="Times New Roman"/>
          <w:sz w:val="24"/>
          <w:szCs w:val="24"/>
        </w:rPr>
        <w:t xml:space="preserve">encies shall undertake periodic </w:t>
      </w:r>
      <w:r w:rsidRPr="004A76D7">
        <w:rPr>
          <w:rFonts w:ascii="Rockwell" w:eastAsia="Times New Roman" w:hAnsi="Rockwell" w:cs="Times New Roman"/>
          <w:sz w:val="24"/>
          <w:szCs w:val="24"/>
        </w:rPr>
        <w:t>multi-agency environmental monitoring and/or control en</w:t>
      </w:r>
      <w:r w:rsidR="003501B1" w:rsidRPr="004A76D7">
        <w:rPr>
          <w:rFonts w:ascii="Rockwell" w:eastAsia="Times New Roman" w:hAnsi="Rockwell" w:cs="Times New Roman"/>
          <w:sz w:val="24"/>
          <w:szCs w:val="24"/>
        </w:rPr>
        <w:t xml:space="preserve">vironmental audits, whenever it </w:t>
      </w:r>
      <w:r w:rsidRPr="004A76D7">
        <w:rPr>
          <w:rFonts w:ascii="Rockwell" w:eastAsia="Times New Roman" w:hAnsi="Rockwell" w:cs="Times New Roman"/>
          <w:sz w:val="24"/>
          <w:szCs w:val="24"/>
        </w:rPr>
        <w:t>is deemed necessary to check compliance wi</w:t>
      </w:r>
      <w:r w:rsidR="003501B1" w:rsidRPr="004A76D7">
        <w:rPr>
          <w:rFonts w:ascii="Rockwell" w:eastAsia="Times New Roman" w:hAnsi="Rockwell" w:cs="Times New Roman"/>
          <w:sz w:val="24"/>
          <w:szCs w:val="24"/>
        </w:rPr>
        <w:t xml:space="preserve">th environmental parameters and </w:t>
      </w:r>
      <w:r w:rsidRPr="004A76D7">
        <w:rPr>
          <w:rFonts w:ascii="Rockwell" w:eastAsia="Times New Roman" w:hAnsi="Rockwell" w:cs="Times New Roman"/>
          <w:sz w:val="24"/>
          <w:szCs w:val="24"/>
        </w:rPr>
        <w:t>prescribed standards for the mine site.</w:t>
      </w:r>
    </w:p>
    <w:p w:rsidR="003501B1" w:rsidRPr="004A76D7" w:rsidRDefault="008E29E3" w:rsidP="000E7DFC">
      <w:pPr>
        <w:pStyle w:val="Heading3"/>
        <w:jc w:val="both"/>
        <w:rPr>
          <w:rFonts w:ascii="Rockwell" w:eastAsia="Times New Roman" w:hAnsi="Rockwell" w:cs="Times New Roman"/>
          <w:b/>
          <w:sz w:val="24"/>
          <w:szCs w:val="24"/>
        </w:rPr>
      </w:pPr>
      <w:r w:rsidRPr="004A76D7">
        <w:rPr>
          <w:rFonts w:ascii="Rockwell" w:eastAsia="Times New Roman" w:hAnsi="Rockwell" w:cs="Times New Roman"/>
          <w:sz w:val="24"/>
          <w:szCs w:val="24"/>
        </w:rPr>
        <w:t xml:space="preserve"> </w:t>
      </w:r>
      <w:bookmarkStart w:id="55" w:name="_Toc209047142"/>
      <w:r w:rsidR="002F3767">
        <w:rPr>
          <w:rFonts w:ascii="Rockwell" w:eastAsia="Times New Roman" w:hAnsi="Rockwell" w:cs="Times New Roman"/>
          <w:b/>
          <w:sz w:val="24"/>
          <w:szCs w:val="24"/>
        </w:rPr>
        <w:t xml:space="preserve">u) </w:t>
      </w:r>
      <w:r w:rsidR="003501B1" w:rsidRPr="004A76D7">
        <w:rPr>
          <w:rFonts w:ascii="Rockwell" w:eastAsia="Times New Roman" w:hAnsi="Rockwell" w:cs="Times New Roman"/>
          <w:b/>
          <w:sz w:val="24"/>
          <w:szCs w:val="24"/>
        </w:rPr>
        <w:t>Financial Provision for Closure</w:t>
      </w:r>
      <w:bookmarkEnd w:id="55"/>
    </w:p>
    <w:p w:rsidR="008E29E3" w:rsidRPr="004A76D7" w:rsidRDefault="008E29E3" w:rsidP="000E7DFC">
      <w:pPr>
        <w:spacing w:before="240" w:after="240"/>
        <w:jc w:val="both"/>
        <w:rPr>
          <w:rFonts w:ascii="Rockwell" w:eastAsia="Times New Roman" w:hAnsi="Rockwell" w:cs="Times New Roman"/>
          <w:b/>
          <w:sz w:val="24"/>
          <w:szCs w:val="24"/>
        </w:rPr>
      </w:pPr>
      <w:r w:rsidRPr="004A76D7">
        <w:rPr>
          <w:rFonts w:ascii="Rockwell" w:eastAsia="Times New Roman" w:hAnsi="Rockwell" w:cs="Times New Roman"/>
          <w:sz w:val="24"/>
          <w:szCs w:val="24"/>
        </w:rPr>
        <w:t>Current international practice requires that the financial guarantees need to be</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calculated and secured ahead of mining activities. Ideally, funds for mine closure should</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be available to close the mines at any stage of the mine life whether the operator is</w:t>
      </w:r>
      <w:r w:rsidR="00AD5D8B"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there or not.</w:t>
      </w:r>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The objective of financial provisioning for closure is to</w:t>
      </w:r>
      <w:r w:rsidR="003501B1" w:rsidRPr="004A76D7">
        <w:rPr>
          <w:rFonts w:ascii="Rockwell" w:eastAsia="Times New Roman" w:hAnsi="Rockwell" w:cs="Times New Roman"/>
          <w:sz w:val="24"/>
          <w:szCs w:val="24"/>
        </w:rPr>
        <w:t xml:space="preserve"> ensure that adequate funds are </w:t>
      </w:r>
      <w:r w:rsidRPr="004A76D7">
        <w:rPr>
          <w:rFonts w:ascii="Rockwell" w:eastAsia="Times New Roman" w:hAnsi="Rockwell" w:cs="Times New Roman"/>
          <w:sz w:val="24"/>
          <w:szCs w:val="24"/>
        </w:rPr>
        <w:t>available at the time of closure and that the community is not left with an unacceptable liability. To that end, it is essential that the cost of c</w:t>
      </w:r>
      <w:r w:rsidR="003501B1" w:rsidRPr="004A76D7">
        <w:rPr>
          <w:rFonts w:ascii="Rockwell" w:eastAsia="Times New Roman" w:hAnsi="Rockwell" w:cs="Times New Roman"/>
          <w:sz w:val="24"/>
          <w:szCs w:val="24"/>
        </w:rPr>
        <w:t xml:space="preserve">losure be estimated as early as </w:t>
      </w:r>
      <w:r w:rsidRPr="004A76D7">
        <w:rPr>
          <w:rFonts w:ascii="Rockwell" w:eastAsia="Times New Roman" w:hAnsi="Rockwell" w:cs="Times New Roman"/>
          <w:sz w:val="24"/>
          <w:szCs w:val="24"/>
        </w:rPr>
        <w:t>possible. The financial provisioning process and methodology has to be transp</w:t>
      </w:r>
      <w:r w:rsidR="003501B1" w:rsidRPr="004A76D7">
        <w:rPr>
          <w:rFonts w:ascii="Rockwell" w:eastAsia="Times New Roman" w:hAnsi="Rockwell" w:cs="Times New Roman"/>
          <w:sz w:val="24"/>
          <w:szCs w:val="24"/>
        </w:rPr>
        <w:t xml:space="preserve">arent and </w:t>
      </w:r>
      <w:r w:rsidRPr="004A76D7">
        <w:rPr>
          <w:rFonts w:ascii="Rockwell" w:eastAsia="Times New Roman" w:hAnsi="Rockwell" w:cs="Times New Roman"/>
          <w:sz w:val="24"/>
          <w:szCs w:val="24"/>
        </w:rPr>
        <w:t>verifiable, assumptions and uncertainties have to be cl</w:t>
      </w:r>
      <w:r w:rsidR="003501B1" w:rsidRPr="004A76D7">
        <w:rPr>
          <w:rFonts w:ascii="Rockwell" w:eastAsia="Times New Roman" w:hAnsi="Rockwell" w:cs="Times New Roman"/>
          <w:sz w:val="24"/>
          <w:szCs w:val="24"/>
        </w:rPr>
        <w:t xml:space="preserve">early documented, and they have </w:t>
      </w:r>
      <w:r w:rsidRPr="004A76D7">
        <w:rPr>
          <w:rFonts w:ascii="Rockwell" w:eastAsia="Times New Roman" w:hAnsi="Rockwell" w:cs="Times New Roman"/>
          <w:sz w:val="24"/>
          <w:szCs w:val="24"/>
        </w:rPr>
        <w:t xml:space="preserve">to be based on reasonable, site-specific information and </w:t>
      </w:r>
      <w:r w:rsidR="003501B1" w:rsidRPr="004A76D7">
        <w:rPr>
          <w:rFonts w:ascii="Rockwell" w:eastAsia="Times New Roman" w:hAnsi="Rockwell" w:cs="Times New Roman"/>
          <w:sz w:val="24"/>
          <w:szCs w:val="24"/>
        </w:rPr>
        <w:t xml:space="preserve">data throughout the life of the </w:t>
      </w:r>
      <w:r w:rsidRPr="004A76D7">
        <w:rPr>
          <w:rFonts w:ascii="Rockwell" w:eastAsia="Times New Roman" w:hAnsi="Rockwell" w:cs="Times New Roman"/>
          <w:sz w:val="24"/>
          <w:szCs w:val="24"/>
        </w:rPr>
        <w:t>project. The closure cost estimates must be regularly reviewed to refl</w:t>
      </w:r>
      <w:r w:rsidR="003501B1" w:rsidRPr="004A76D7">
        <w:rPr>
          <w:rFonts w:ascii="Rockwell" w:eastAsia="Times New Roman" w:hAnsi="Rockwell" w:cs="Times New Roman"/>
          <w:sz w:val="24"/>
          <w:szCs w:val="24"/>
        </w:rPr>
        <w:t xml:space="preserve">ect changing </w:t>
      </w:r>
      <w:r w:rsidRPr="004A76D7">
        <w:rPr>
          <w:rFonts w:ascii="Rockwell" w:eastAsia="Times New Roman" w:hAnsi="Rockwell" w:cs="Times New Roman"/>
          <w:sz w:val="24"/>
          <w:szCs w:val="24"/>
        </w:rPr>
        <w:t>circumstances and levels of risk. This will ensure that t</w:t>
      </w:r>
      <w:r w:rsidR="003501B1" w:rsidRPr="004A76D7">
        <w:rPr>
          <w:rFonts w:ascii="Rockwell" w:eastAsia="Times New Roman" w:hAnsi="Rockwell" w:cs="Times New Roman"/>
          <w:sz w:val="24"/>
          <w:szCs w:val="24"/>
        </w:rPr>
        <w:t xml:space="preserve">he accuracy of closure costs is </w:t>
      </w:r>
      <w:r w:rsidRPr="004A76D7">
        <w:rPr>
          <w:rFonts w:ascii="Rockwell" w:eastAsia="Times New Roman" w:hAnsi="Rockwell" w:cs="Times New Roman"/>
          <w:sz w:val="24"/>
          <w:szCs w:val="24"/>
        </w:rPr>
        <w:t>refined and improved with time, and will assist with man</w:t>
      </w:r>
      <w:r w:rsidR="003501B1" w:rsidRPr="004A76D7">
        <w:rPr>
          <w:rFonts w:ascii="Rockwell" w:eastAsia="Times New Roman" w:hAnsi="Rockwell" w:cs="Times New Roman"/>
          <w:sz w:val="24"/>
          <w:szCs w:val="24"/>
        </w:rPr>
        <w:t>agement and mitigation of high-</w:t>
      </w:r>
      <w:r w:rsidRPr="004A76D7">
        <w:rPr>
          <w:rFonts w:ascii="Rockwell" w:eastAsia="Times New Roman" w:hAnsi="Rockwell" w:cs="Times New Roman"/>
          <w:sz w:val="24"/>
          <w:szCs w:val="24"/>
        </w:rPr>
        <w:t>risk issues.</w:t>
      </w:r>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The financing of decommissioning, rehabilitation and clos</w:t>
      </w:r>
      <w:r w:rsidR="003501B1" w:rsidRPr="004A76D7">
        <w:rPr>
          <w:rFonts w:ascii="Rockwell" w:eastAsia="Times New Roman" w:hAnsi="Rockwell" w:cs="Times New Roman"/>
          <w:sz w:val="24"/>
          <w:szCs w:val="24"/>
        </w:rPr>
        <w:t xml:space="preserve">ure of the mine sites is within </w:t>
      </w:r>
      <w:r w:rsidRPr="004A76D7">
        <w:rPr>
          <w:rFonts w:ascii="Rockwell" w:eastAsia="Times New Roman" w:hAnsi="Rockwell" w:cs="Times New Roman"/>
          <w:sz w:val="24"/>
          <w:szCs w:val="24"/>
        </w:rPr>
        <w:t>the provisions of the Polluter Pays Principle and as spec</w:t>
      </w:r>
      <w:r w:rsidR="003501B1" w:rsidRPr="004A76D7">
        <w:rPr>
          <w:rFonts w:ascii="Rockwell" w:eastAsia="Times New Roman" w:hAnsi="Rockwell" w:cs="Times New Roman"/>
          <w:sz w:val="24"/>
          <w:szCs w:val="24"/>
        </w:rPr>
        <w:t xml:space="preserve">ified under section 28 of EMCA, </w:t>
      </w:r>
      <w:r w:rsidR="002F3767">
        <w:rPr>
          <w:rFonts w:ascii="Rockwell" w:eastAsia="Times New Roman" w:hAnsi="Rockwell" w:cs="Times New Roman"/>
          <w:sz w:val="24"/>
          <w:szCs w:val="24"/>
        </w:rPr>
        <w:t>Cap 387</w:t>
      </w:r>
      <w:r w:rsidRPr="004A76D7">
        <w:rPr>
          <w:rFonts w:ascii="Rockwell" w:eastAsia="Times New Roman" w:hAnsi="Rockwell" w:cs="Times New Roman"/>
          <w:sz w:val="24"/>
          <w:szCs w:val="24"/>
        </w:rPr>
        <w:t xml:space="preserve"> </w:t>
      </w:r>
      <w:r w:rsidR="002F3767">
        <w:rPr>
          <w:rFonts w:ascii="Rockwell" w:eastAsia="Times New Roman" w:hAnsi="Rockwell" w:cs="Times New Roman"/>
          <w:sz w:val="24"/>
          <w:szCs w:val="24"/>
        </w:rPr>
        <w:t xml:space="preserve">and Section, 181 of the Mining Act, Cap 306 </w:t>
      </w:r>
      <w:r w:rsidRPr="004A76D7">
        <w:rPr>
          <w:rFonts w:ascii="Rockwell" w:eastAsia="Times New Roman" w:hAnsi="Rockwell" w:cs="Times New Roman"/>
          <w:sz w:val="24"/>
          <w:szCs w:val="24"/>
        </w:rPr>
        <w:t>as well as internationally applicable best practices</w:t>
      </w:r>
      <w:r w:rsidR="002F3767">
        <w:rPr>
          <w:rFonts w:ascii="Rockwell" w:eastAsia="Times New Roman" w:hAnsi="Rockwell" w:cs="Times New Roman"/>
          <w:sz w:val="24"/>
          <w:szCs w:val="24"/>
        </w:rPr>
        <w:t xml:space="preserve">. This </w:t>
      </w:r>
      <w:r w:rsidR="003501B1" w:rsidRPr="004A76D7">
        <w:rPr>
          <w:rFonts w:ascii="Rockwell" w:eastAsia="Times New Roman" w:hAnsi="Rockwell" w:cs="Times New Roman"/>
          <w:sz w:val="24"/>
          <w:szCs w:val="24"/>
        </w:rPr>
        <w:t>place</w:t>
      </w:r>
      <w:r w:rsidR="002F3767">
        <w:rPr>
          <w:rFonts w:ascii="Rockwell" w:eastAsia="Times New Roman" w:hAnsi="Rockwell" w:cs="Times New Roman"/>
          <w:sz w:val="24"/>
          <w:szCs w:val="24"/>
        </w:rPr>
        <w:t>s</w:t>
      </w:r>
      <w:r w:rsidR="003501B1" w:rsidRPr="004A76D7">
        <w:rPr>
          <w:rFonts w:ascii="Rockwell" w:eastAsia="Times New Roman" w:hAnsi="Rockwell" w:cs="Times New Roman"/>
          <w:sz w:val="24"/>
          <w:szCs w:val="24"/>
        </w:rPr>
        <w:t xml:space="preserve"> the onus of </w:t>
      </w:r>
      <w:r w:rsidRPr="004A76D7">
        <w:rPr>
          <w:rFonts w:ascii="Rockwell" w:eastAsia="Times New Roman" w:hAnsi="Rockwell" w:cs="Times New Roman"/>
          <w:sz w:val="24"/>
          <w:szCs w:val="24"/>
        </w:rPr>
        <w:t>expenditure for site assessment, management, deco</w:t>
      </w:r>
      <w:r w:rsidR="003501B1" w:rsidRPr="004A76D7">
        <w:rPr>
          <w:rFonts w:ascii="Rockwell" w:eastAsia="Times New Roman" w:hAnsi="Rockwell" w:cs="Times New Roman"/>
          <w:sz w:val="24"/>
          <w:szCs w:val="24"/>
        </w:rPr>
        <w:t xml:space="preserve">mmissioning, remediation, waste </w:t>
      </w:r>
      <w:r w:rsidRPr="004A76D7">
        <w:rPr>
          <w:rFonts w:ascii="Rockwell" w:eastAsia="Times New Roman" w:hAnsi="Rockwell" w:cs="Times New Roman"/>
          <w:sz w:val="24"/>
          <w:szCs w:val="24"/>
        </w:rPr>
        <w:t>treatment and disposal on those responsible for the pollution.</w:t>
      </w:r>
    </w:p>
    <w:p w:rsidR="008E29E3" w:rsidRPr="004A76D7" w:rsidRDefault="008E29E3" w:rsidP="000E7DFC">
      <w:pPr>
        <w:pStyle w:val="Heading1"/>
        <w:jc w:val="both"/>
        <w:rPr>
          <w:rFonts w:ascii="Rockwell" w:eastAsia="Times New Roman" w:hAnsi="Rockwell" w:cs="Times New Roman"/>
          <w:b/>
          <w:sz w:val="24"/>
          <w:szCs w:val="24"/>
        </w:rPr>
      </w:pPr>
      <w:bookmarkStart w:id="56" w:name="_Toc209047143"/>
      <w:r w:rsidRPr="004A76D7">
        <w:rPr>
          <w:rFonts w:ascii="Rockwell" w:eastAsia="Times New Roman" w:hAnsi="Rockwell" w:cs="Times New Roman"/>
          <w:b/>
          <w:sz w:val="24"/>
          <w:szCs w:val="24"/>
        </w:rPr>
        <w:t>4.2 Remediation Liability Estimation</w:t>
      </w:r>
      <w:bookmarkEnd w:id="56"/>
    </w:p>
    <w:p w:rsidR="008E29E3" w:rsidRDefault="008E29E3" w:rsidP="000E7DFC">
      <w:pPr>
        <w:spacing w:before="240" w:after="240"/>
        <w:jc w:val="both"/>
        <w:rPr>
          <w:rFonts w:ascii="Rockwell" w:eastAsia="Times New Roman" w:hAnsi="Rockwell" w:cs="Times New Roman"/>
          <w:b/>
          <w:sz w:val="24"/>
          <w:szCs w:val="24"/>
        </w:rPr>
      </w:pPr>
      <w:r w:rsidRPr="004A76D7">
        <w:rPr>
          <w:rFonts w:ascii="Rockwell" w:eastAsia="Times New Roman" w:hAnsi="Rockwell" w:cs="Times New Roman"/>
          <w:sz w:val="24"/>
          <w:szCs w:val="24"/>
        </w:rPr>
        <w:t>Estimation of the remediation liability will take into consideration the following: submission of the remediation plan for the entire lifetime of the mining operations; list</w:t>
      </w:r>
      <w:r w:rsidR="00C9153B">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 xml:space="preserve">all </w:t>
      </w:r>
      <w:r w:rsidR="003501B1" w:rsidRPr="004A76D7">
        <w:rPr>
          <w:rFonts w:ascii="Rockwell" w:eastAsia="Times New Roman" w:hAnsi="Rockwell" w:cs="Times New Roman"/>
          <w:sz w:val="24"/>
          <w:szCs w:val="24"/>
        </w:rPr>
        <w:t>remediation</w:t>
      </w:r>
      <w:r w:rsidR="00C9153B">
        <w:rPr>
          <w:rFonts w:ascii="Rockwell" w:eastAsia="Times New Roman" w:hAnsi="Rockwell" w:cs="Times New Roman"/>
          <w:sz w:val="24"/>
          <w:szCs w:val="24"/>
        </w:rPr>
        <w:t xml:space="preserve"> activities</w:t>
      </w:r>
      <w:r w:rsidR="003501B1" w:rsidRPr="004A76D7">
        <w:rPr>
          <w:rFonts w:ascii="Rockwell" w:eastAsia="Times New Roman" w:hAnsi="Rockwell" w:cs="Times New Roman"/>
          <w:sz w:val="24"/>
          <w:szCs w:val="24"/>
        </w:rPr>
        <w:t>,</w:t>
      </w:r>
      <w:r w:rsidRPr="004A76D7">
        <w:rPr>
          <w:rFonts w:ascii="Rockwell" w:eastAsia="Times New Roman" w:hAnsi="Rockwell" w:cs="Times New Roman"/>
          <w:sz w:val="24"/>
          <w:szCs w:val="24"/>
        </w:rPr>
        <w:t xml:space="preserve"> post care and maintenance activities; estimation </w:t>
      </w:r>
      <w:r w:rsidR="003501B1" w:rsidRPr="004A76D7">
        <w:rPr>
          <w:rFonts w:ascii="Rockwell" w:eastAsia="Times New Roman" w:hAnsi="Rockwell" w:cs="Times New Roman"/>
          <w:sz w:val="24"/>
          <w:szCs w:val="24"/>
        </w:rPr>
        <w:t>of the</w:t>
      </w:r>
      <w:r w:rsidRPr="004A76D7">
        <w:rPr>
          <w:rFonts w:ascii="Rockwell" w:eastAsia="Times New Roman" w:hAnsi="Rockwell" w:cs="Times New Roman"/>
          <w:sz w:val="24"/>
          <w:szCs w:val="24"/>
        </w:rPr>
        <w:t xml:space="preserve"> cost of each remediation, post care and maintenance activities and sum the cost of all remediation post care and maintenance activities.</w:t>
      </w:r>
      <w:r w:rsidRPr="004A76D7">
        <w:rPr>
          <w:rFonts w:ascii="Rockwell" w:eastAsia="Times New Roman" w:hAnsi="Rockwell" w:cs="Times New Roman"/>
          <w:b/>
          <w:sz w:val="24"/>
          <w:szCs w:val="24"/>
        </w:rPr>
        <w:t xml:space="preserve"> </w:t>
      </w:r>
    </w:p>
    <w:p w:rsidR="008E29E3" w:rsidRDefault="008E29E3" w:rsidP="000E7DFC">
      <w:pPr>
        <w:pStyle w:val="Heading2"/>
        <w:jc w:val="both"/>
        <w:rPr>
          <w:rFonts w:ascii="Rockwell" w:eastAsia="Times New Roman" w:hAnsi="Rockwell" w:cs="Times New Roman"/>
          <w:b/>
          <w:sz w:val="24"/>
          <w:szCs w:val="24"/>
        </w:rPr>
      </w:pPr>
      <w:bookmarkStart w:id="57" w:name="_Toc209047144"/>
      <w:r w:rsidRPr="004A76D7">
        <w:rPr>
          <w:rFonts w:ascii="Rockwell" w:eastAsia="Times New Roman" w:hAnsi="Rockwell" w:cs="Times New Roman"/>
          <w:b/>
          <w:sz w:val="24"/>
          <w:szCs w:val="24"/>
        </w:rPr>
        <w:t xml:space="preserve">4.2.1 </w:t>
      </w:r>
      <w:r w:rsidR="002E4F40">
        <w:rPr>
          <w:rFonts w:ascii="Rockwell" w:eastAsia="Times New Roman" w:hAnsi="Rockwell" w:cs="Times New Roman"/>
          <w:b/>
          <w:sz w:val="24"/>
          <w:szCs w:val="24"/>
        </w:rPr>
        <w:t xml:space="preserve">Methods of determining liability estimations </w:t>
      </w:r>
      <w:bookmarkEnd w:id="57"/>
    </w:p>
    <w:p w:rsidR="00DE3EEA" w:rsidRPr="00DE3EEA" w:rsidRDefault="00DE3EEA" w:rsidP="00DE3EEA">
      <w:pPr>
        <w:spacing w:before="240" w:after="240"/>
        <w:jc w:val="both"/>
        <w:rPr>
          <w:rFonts w:ascii="Rockwell" w:eastAsia="Times New Roman" w:hAnsi="Rockwell" w:cs="Times New Roman"/>
          <w:sz w:val="24"/>
          <w:szCs w:val="24"/>
        </w:rPr>
      </w:pPr>
      <w:r w:rsidRPr="00DE3EEA">
        <w:rPr>
          <w:rFonts w:ascii="Rockwell" w:eastAsia="Times New Roman" w:hAnsi="Rockwell" w:cs="Times New Roman"/>
          <w:sz w:val="24"/>
          <w:szCs w:val="24"/>
        </w:rPr>
        <w:t xml:space="preserve">There are several </w:t>
      </w:r>
      <w:r>
        <w:rPr>
          <w:rFonts w:ascii="Rockwell" w:eastAsia="Times New Roman" w:hAnsi="Rockwell" w:cs="Times New Roman"/>
          <w:sz w:val="24"/>
          <w:szCs w:val="24"/>
        </w:rPr>
        <w:t xml:space="preserve">methods that can be used to determine the </w:t>
      </w:r>
      <w:r w:rsidRPr="00DE3EEA">
        <w:rPr>
          <w:rFonts w:ascii="Rockwell" w:eastAsia="Times New Roman" w:hAnsi="Rockwell" w:cs="Times New Roman"/>
          <w:sz w:val="24"/>
          <w:szCs w:val="24"/>
        </w:rPr>
        <w:t>liability estimation</w:t>
      </w:r>
      <w:r>
        <w:rPr>
          <w:rFonts w:ascii="Rockwell" w:eastAsia="Times New Roman" w:hAnsi="Rockwell" w:cs="Times New Roman"/>
          <w:sz w:val="24"/>
          <w:szCs w:val="24"/>
        </w:rPr>
        <w:t xml:space="preserve"> by calculating the potential costs of rehabilitating a mine site after the operations have </w:t>
      </w:r>
      <w:r>
        <w:rPr>
          <w:rFonts w:ascii="Rockwell" w:eastAsia="Times New Roman" w:hAnsi="Rockwell" w:cs="Times New Roman"/>
          <w:sz w:val="24"/>
          <w:szCs w:val="24"/>
        </w:rPr>
        <w:lastRenderedPageBreak/>
        <w:t>ceased. The choice option is guided by each Country’s influencing Policies and Laws</w:t>
      </w:r>
      <w:r w:rsidR="002E4F40">
        <w:rPr>
          <w:rFonts w:ascii="Rockwell" w:eastAsia="Times New Roman" w:hAnsi="Rockwell" w:cs="Times New Roman"/>
          <w:sz w:val="24"/>
          <w:szCs w:val="24"/>
        </w:rPr>
        <w:t>.</w:t>
      </w:r>
      <w:r>
        <w:rPr>
          <w:rFonts w:ascii="Rockwell" w:eastAsia="Times New Roman" w:hAnsi="Rockwell" w:cs="Times New Roman"/>
          <w:sz w:val="24"/>
          <w:szCs w:val="24"/>
        </w:rPr>
        <w:t xml:space="preserve"> </w:t>
      </w:r>
      <w:r w:rsidRPr="00DE3EEA">
        <w:rPr>
          <w:rFonts w:ascii="Rockwell" w:eastAsia="Times New Roman" w:hAnsi="Rockwell" w:cs="Times New Roman"/>
          <w:sz w:val="24"/>
          <w:szCs w:val="24"/>
        </w:rPr>
        <w:t xml:space="preserve"> </w:t>
      </w:r>
    </w:p>
    <w:p w:rsidR="008E29E3" w:rsidRPr="004A76D7" w:rsidRDefault="008E29E3" w:rsidP="000E7DFC">
      <w:pPr>
        <w:spacing w:before="240"/>
        <w:jc w:val="both"/>
        <w:rPr>
          <w:rFonts w:ascii="Rockwell" w:eastAsia="Times New Roman" w:hAnsi="Rockwell" w:cs="Times New Roman"/>
          <w:sz w:val="24"/>
          <w:szCs w:val="24"/>
        </w:rPr>
      </w:pPr>
      <w:proofErr w:type="spellStart"/>
      <w:r w:rsidRPr="004A76D7">
        <w:rPr>
          <w:rFonts w:ascii="Rockwell" w:eastAsia="Times New Roman" w:hAnsi="Rockwell" w:cs="Times New Roman"/>
          <w:sz w:val="24"/>
          <w:szCs w:val="24"/>
        </w:rPr>
        <w:t>i</w:t>
      </w:r>
      <w:proofErr w:type="spellEnd"/>
      <w:r w:rsidRPr="004A76D7">
        <w:rPr>
          <w:rFonts w:ascii="Rockwell" w:eastAsia="Times New Roman" w:hAnsi="Rockwell" w:cs="Times New Roman"/>
          <w:sz w:val="24"/>
          <w:szCs w:val="24"/>
        </w:rPr>
        <w:t xml:space="preserve">) </w:t>
      </w:r>
      <w:r w:rsidRPr="004A76D7">
        <w:rPr>
          <w:rFonts w:ascii="Rockwell" w:eastAsia="Times New Roman" w:hAnsi="Rockwell" w:cs="Times New Roman"/>
          <w:b/>
          <w:sz w:val="24"/>
          <w:szCs w:val="24"/>
        </w:rPr>
        <w:t>L</w:t>
      </w:r>
      <w:r w:rsidR="00DE3EEA">
        <w:rPr>
          <w:rFonts w:ascii="Rockwell" w:eastAsia="Times New Roman" w:hAnsi="Rockwell" w:cs="Times New Roman"/>
          <w:b/>
          <w:sz w:val="24"/>
          <w:szCs w:val="24"/>
        </w:rPr>
        <w:t>ife of Mine (</w:t>
      </w:r>
      <w:proofErr w:type="spellStart"/>
      <w:r w:rsidR="00DE3EEA">
        <w:rPr>
          <w:rFonts w:ascii="Rockwell" w:eastAsia="Times New Roman" w:hAnsi="Rockwell" w:cs="Times New Roman"/>
          <w:b/>
          <w:sz w:val="24"/>
          <w:szCs w:val="24"/>
        </w:rPr>
        <w:t>L</w:t>
      </w:r>
      <w:r w:rsidRPr="004A76D7">
        <w:rPr>
          <w:rFonts w:ascii="Rockwell" w:eastAsia="Times New Roman" w:hAnsi="Rockwell" w:cs="Times New Roman"/>
          <w:b/>
          <w:sz w:val="24"/>
          <w:szCs w:val="24"/>
        </w:rPr>
        <w:t>oM</w:t>
      </w:r>
      <w:proofErr w:type="spellEnd"/>
      <w:r w:rsidR="00DE3EEA">
        <w:rPr>
          <w:rFonts w:ascii="Rockwell" w:eastAsia="Times New Roman" w:hAnsi="Rockwell" w:cs="Times New Roman"/>
          <w:b/>
          <w:sz w:val="24"/>
          <w:szCs w:val="24"/>
        </w:rPr>
        <w:t>)</w:t>
      </w:r>
      <w:r w:rsidRPr="004A76D7">
        <w:rPr>
          <w:rFonts w:ascii="Rockwell" w:eastAsia="Times New Roman" w:hAnsi="Rockwell" w:cs="Times New Roman"/>
          <w:b/>
          <w:sz w:val="24"/>
          <w:szCs w:val="24"/>
        </w:rPr>
        <w:t xml:space="preserve"> closure ‘capital’ raw cost estimate;</w:t>
      </w:r>
      <w:r w:rsidRPr="004A76D7">
        <w:rPr>
          <w:rFonts w:ascii="Rockwell" w:eastAsia="Times New Roman" w:hAnsi="Rockwell" w:cs="Times New Roman"/>
          <w:sz w:val="24"/>
          <w:szCs w:val="24"/>
        </w:rPr>
        <w:t xml:space="preserve"> used primarily for internal closure planning and </w:t>
      </w:r>
      <w:proofErr w:type="spellStart"/>
      <w:r w:rsidRPr="004A76D7">
        <w:rPr>
          <w:rFonts w:ascii="Rockwell" w:eastAsia="Times New Roman" w:hAnsi="Rockwell" w:cs="Times New Roman"/>
          <w:sz w:val="24"/>
          <w:szCs w:val="24"/>
        </w:rPr>
        <w:t>LoM</w:t>
      </w:r>
      <w:proofErr w:type="spellEnd"/>
      <w:r w:rsidRPr="004A76D7">
        <w:rPr>
          <w:rFonts w:ascii="Rockwell" w:eastAsia="Times New Roman" w:hAnsi="Rockwell" w:cs="Times New Roman"/>
          <w:sz w:val="24"/>
          <w:szCs w:val="24"/>
        </w:rPr>
        <w:t xml:space="preserve"> budgeting. This estimate includes existing and future disturbance, according to the current mine plan. It includes liabilities associated with any and all legal and non-legal obligations, project management costs, post-closure monitoring and maintenance costs and is based on costing by the competent expert.</w:t>
      </w:r>
    </w:p>
    <w:p w:rsidR="008E29E3" w:rsidRPr="004A76D7" w:rsidRDefault="008E29E3"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b/>
          <w:sz w:val="24"/>
          <w:szCs w:val="24"/>
        </w:rPr>
        <w:t>ii) Integrated Financial Reporting System (IFRS) estimate;</w:t>
      </w:r>
      <w:r w:rsidRPr="004A76D7">
        <w:rPr>
          <w:rFonts w:ascii="Rockwell" w:eastAsia="Times New Roman" w:hAnsi="Rockwell" w:cs="Times New Roman"/>
          <w:sz w:val="24"/>
          <w:szCs w:val="24"/>
        </w:rPr>
        <w:t xml:space="preserve"> the IFRS estimate includes only the liability that exists at the balance sheet reporting date (31 December or 30 June). It is the best estimate of the expenditure required to successfully close the site and rehabilitate the existing disturbance, meeting all closure objectives and criteria as required by policy objectives, legal obligations and agreements with stakeholders. This cost estimate is then discounted over the </w:t>
      </w:r>
      <w:proofErr w:type="spellStart"/>
      <w:r w:rsidRPr="004A76D7">
        <w:rPr>
          <w:rFonts w:ascii="Rockwell" w:eastAsia="Times New Roman" w:hAnsi="Rockwell" w:cs="Times New Roman"/>
          <w:sz w:val="24"/>
          <w:szCs w:val="24"/>
        </w:rPr>
        <w:t>LoM</w:t>
      </w:r>
      <w:proofErr w:type="spellEnd"/>
      <w:r w:rsidRPr="004A76D7">
        <w:rPr>
          <w:rFonts w:ascii="Rockwell" w:eastAsia="Times New Roman" w:hAnsi="Rockwell" w:cs="Times New Roman"/>
          <w:sz w:val="24"/>
          <w:szCs w:val="24"/>
        </w:rPr>
        <w:t xml:space="preserve"> plan to arrive at </w:t>
      </w:r>
      <w:proofErr w:type="gramStart"/>
      <w:r w:rsidRPr="004A76D7">
        <w:rPr>
          <w:rFonts w:ascii="Rockwell" w:eastAsia="Times New Roman" w:hAnsi="Rockwell" w:cs="Times New Roman"/>
          <w:sz w:val="24"/>
          <w:szCs w:val="24"/>
        </w:rPr>
        <w:t>an</w:t>
      </w:r>
      <w:proofErr w:type="gramEnd"/>
      <w:r w:rsidRPr="004A76D7">
        <w:rPr>
          <w:rFonts w:ascii="Rockwell" w:eastAsia="Times New Roman" w:hAnsi="Rockwell" w:cs="Times New Roman"/>
          <w:sz w:val="24"/>
          <w:szCs w:val="24"/>
        </w:rPr>
        <w:t xml:space="preserve"> Net Present Value (NPV) provision for reporting to a credible stock exchange in the company’s annual financial accounts. It should be based on third-party contractor costs and should exclude the costs that are included in the </w:t>
      </w:r>
      <w:proofErr w:type="spellStart"/>
      <w:r w:rsidRPr="004A76D7">
        <w:rPr>
          <w:rFonts w:ascii="Rockwell" w:eastAsia="Times New Roman" w:hAnsi="Rockwell" w:cs="Times New Roman"/>
          <w:sz w:val="24"/>
          <w:szCs w:val="24"/>
        </w:rPr>
        <w:t>LoM</w:t>
      </w:r>
      <w:proofErr w:type="spellEnd"/>
      <w:r w:rsidRPr="004A76D7">
        <w:rPr>
          <w:rFonts w:ascii="Rockwell" w:eastAsia="Times New Roman" w:hAnsi="Rockwell" w:cs="Times New Roman"/>
          <w:sz w:val="24"/>
          <w:szCs w:val="24"/>
        </w:rPr>
        <w:t xml:space="preserve"> estimate (the salvage value for plant and equipment, inventory disposal costs, socioeconomic costs and contingency).</w:t>
      </w:r>
    </w:p>
    <w:p w:rsidR="008E29E3" w:rsidRPr="004A76D7" w:rsidRDefault="008E29E3"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b/>
          <w:sz w:val="24"/>
          <w:szCs w:val="24"/>
        </w:rPr>
        <w:t>iii) Financial assurance (security bond) estimate;</w:t>
      </w:r>
      <w:r w:rsidRPr="004A76D7">
        <w:rPr>
          <w:rFonts w:ascii="Rockwell" w:eastAsia="Times New Roman" w:hAnsi="Rockwell" w:cs="Times New Roman"/>
          <w:sz w:val="24"/>
          <w:szCs w:val="24"/>
        </w:rPr>
        <w:t xml:space="preserve"> should be lodged with the regulator as part of the mineral tenement licensing requirements. The amount of financial assurance to be lodged is calculated in accordance with relevant regulator guidelines, which generally require that the estimate:</w:t>
      </w:r>
    </w:p>
    <w:p w:rsidR="008E29E3" w:rsidRPr="004A76D7" w:rsidRDefault="008E29E3" w:rsidP="000E7DFC">
      <w:pPr>
        <w:spacing w:before="240"/>
        <w:jc w:val="both"/>
        <w:rPr>
          <w:rFonts w:ascii="Rockwell" w:eastAsia="Times New Roman" w:hAnsi="Rockwell" w:cs="Times New Roman"/>
          <w:sz w:val="24"/>
          <w:szCs w:val="24"/>
        </w:rPr>
      </w:pPr>
      <w:proofErr w:type="gramStart"/>
      <w:r w:rsidRPr="004A76D7">
        <w:rPr>
          <w:rFonts w:ascii="Rockwell" w:eastAsia="Times New Roman" w:hAnsi="Rockwell" w:cs="Times New Roman"/>
          <w:sz w:val="24"/>
          <w:szCs w:val="24"/>
        </w:rPr>
        <w:t>a</w:t>
      </w:r>
      <w:proofErr w:type="gramEnd"/>
      <w:r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ab/>
        <w:t xml:space="preserve"> be based on work being conducted by third-party contractors (rather than owner-miners).</w:t>
      </w:r>
    </w:p>
    <w:p w:rsidR="008E29E3" w:rsidRPr="004A76D7" w:rsidRDefault="008E29E3" w:rsidP="000E7DFC">
      <w:pPr>
        <w:spacing w:before="240"/>
        <w:jc w:val="both"/>
        <w:rPr>
          <w:rFonts w:ascii="Rockwell" w:eastAsia="Times New Roman" w:hAnsi="Rockwell" w:cs="Times New Roman"/>
          <w:sz w:val="24"/>
          <w:szCs w:val="24"/>
        </w:rPr>
      </w:pPr>
      <w:proofErr w:type="gramStart"/>
      <w:r w:rsidRPr="004A76D7">
        <w:rPr>
          <w:rFonts w:ascii="Rockwell" w:eastAsia="Times New Roman" w:hAnsi="Rockwell" w:cs="Times New Roman"/>
          <w:sz w:val="24"/>
          <w:szCs w:val="24"/>
        </w:rPr>
        <w:t>b</w:t>
      </w:r>
      <w:proofErr w:type="gramEnd"/>
      <w:r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ab/>
        <w:t xml:space="preserve"> include the remediation costs for each type of disturbance for each year of the plan (regulators usually require assurance for the maximum value within the plan life).</w:t>
      </w:r>
    </w:p>
    <w:p w:rsidR="008E29E3" w:rsidRPr="004A76D7" w:rsidRDefault="008E29E3" w:rsidP="000E7DFC">
      <w:pPr>
        <w:spacing w:before="240"/>
        <w:jc w:val="both"/>
        <w:rPr>
          <w:rFonts w:ascii="Rockwell" w:eastAsia="Times New Roman" w:hAnsi="Rockwell" w:cs="Times New Roman"/>
          <w:sz w:val="24"/>
          <w:szCs w:val="24"/>
        </w:rPr>
      </w:pPr>
      <w:proofErr w:type="gramStart"/>
      <w:r w:rsidRPr="004A76D7">
        <w:rPr>
          <w:rFonts w:ascii="Rockwell" w:eastAsia="Times New Roman" w:hAnsi="Rockwell" w:cs="Times New Roman"/>
          <w:sz w:val="24"/>
          <w:szCs w:val="24"/>
        </w:rPr>
        <w:t>c</w:t>
      </w:r>
      <w:proofErr w:type="gramEnd"/>
      <w:r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ab/>
        <w:t xml:space="preserve"> include the cost of a contaminated site investigation that verifies that the </w:t>
      </w:r>
      <w:proofErr w:type="spellStart"/>
      <w:r w:rsidRPr="004A76D7">
        <w:rPr>
          <w:rFonts w:ascii="Rockwell" w:eastAsia="Times New Roman" w:hAnsi="Rockwell" w:cs="Times New Roman"/>
          <w:sz w:val="24"/>
          <w:szCs w:val="24"/>
        </w:rPr>
        <w:t>licence</w:t>
      </w:r>
      <w:proofErr w:type="spellEnd"/>
      <w:r w:rsidRPr="004A76D7">
        <w:rPr>
          <w:rFonts w:ascii="Rockwell" w:eastAsia="Times New Roman" w:hAnsi="Rockwell" w:cs="Times New Roman"/>
          <w:sz w:val="24"/>
          <w:szCs w:val="24"/>
        </w:rPr>
        <w:t xml:space="preserve"> conditions have been met.</w:t>
      </w:r>
    </w:p>
    <w:p w:rsidR="008E29E3" w:rsidRPr="004A76D7" w:rsidRDefault="008E29E3" w:rsidP="000E7DFC">
      <w:pPr>
        <w:spacing w:before="240"/>
        <w:jc w:val="both"/>
        <w:rPr>
          <w:rFonts w:ascii="Rockwell" w:eastAsia="Times New Roman" w:hAnsi="Rockwell" w:cs="Times New Roman"/>
          <w:sz w:val="24"/>
          <w:szCs w:val="24"/>
        </w:rPr>
      </w:pPr>
      <w:proofErr w:type="gramStart"/>
      <w:r w:rsidRPr="004A76D7">
        <w:rPr>
          <w:rFonts w:ascii="Rockwell" w:eastAsia="Times New Roman" w:hAnsi="Rockwell" w:cs="Times New Roman"/>
          <w:sz w:val="24"/>
          <w:szCs w:val="24"/>
        </w:rPr>
        <w:t>d</w:t>
      </w:r>
      <w:proofErr w:type="gramEnd"/>
      <w:r w:rsidRPr="004A76D7">
        <w:rPr>
          <w:rFonts w:ascii="Rockwell" w:eastAsia="Times New Roman" w:hAnsi="Rockwell" w:cs="Times New Roman"/>
          <w:sz w:val="24"/>
          <w:szCs w:val="24"/>
        </w:rPr>
        <w:t xml:space="preserve">.    </w:t>
      </w:r>
      <w:r w:rsidRPr="004A76D7">
        <w:rPr>
          <w:rFonts w:ascii="Rockwell" w:eastAsia="Times New Roman" w:hAnsi="Rockwell" w:cs="Times New Roman"/>
          <w:sz w:val="24"/>
          <w:szCs w:val="24"/>
        </w:rPr>
        <w:tab/>
        <w:t xml:space="preserve"> include maintenance and monitoring costs for a period after closure.</w:t>
      </w:r>
    </w:p>
    <w:p w:rsidR="008E29E3" w:rsidRDefault="008E29E3" w:rsidP="000E7DFC">
      <w:pPr>
        <w:spacing w:before="240"/>
        <w:jc w:val="both"/>
        <w:rPr>
          <w:rFonts w:ascii="Rockwell" w:eastAsia="Times New Roman" w:hAnsi="Rockwell" w:cs="Times New Roman"/>
          <w:sz w:val="24"/>
          <w:szCs w:val="24"/>
        </w:rPr>
      </w:pPr>
      <w:r w:rsidRPr="004A76D7">
        <w:rPr>
          <w:rFonts w:ascii="Rockwell" w:eastAsia="Times New Roman" w:hAnsi="Rockwell" w:cs="Times New Roman"/>
          <w:sz w:val="24"/>
          <w:szCs w:val="24"/>
        </w:rPr>
        <w:t>Kenya is adopting the Financial Assurance Bond as provide</w:t>
      </w:r>
      <w:r w:rsidR="00C9153B">
        <w:rPr>
          <w:rFonts w:ascii="Rockwell" w:eastAsia="Times New Roman" w:hAnsi="Rockwell" w:cs="Times New Roman"/>
          <w:sz w:val="24"/>
          <w:szCs w:val="24"/>
        </w:rPr>
        <w:t>d for in Section 28 of EMCA, CAP 387 and Section 181 of the Mining Act, CAP 306</w:t>
      </w:r>
      <w:r w:rsidRPr="004A76D7">
        <w:rPr>
          <w:rFonts w:ascii="Rockwell" w:eastAsia="Times New Roman" w:hAnsi="Rockwell" w:cs="Times New Roman"/>
          <w:sz w:val="24"/>
          <w:szCs w:val="24"/>
        </w:rPr>
        <w:t>. The Deposit Bond must cover the full cost of remediation liability, hence the amount of bond to be submitted is based on the outcome of the Deposit bond assessment report.</w:t>
      </w:r>
    </w:p>
    <w:p w:rsidR="00C66CD0" w:rsidRPr="004A76D7" w:rsidRDefault="00C66CD0" w:rsidP="000E7DFC">
      <w:pPr>
        <w:spacing w:before="240"/>
        <w:jc w:val="both"/>
        <w:rPr>
          <w:rFonts w:ascii="Rockwell" w:eastAsia="Times New Roman" w:hAnsi="Rockwell" w:cs="Times New Roman"/>
          <w:sz w:val="24"/>
          <w:szCs w:val="24"/>
        </w:rPr>
      </w:pPr>
    </w:p>
    <w:p w:rsidR="008E29E3" w:rsidRDefault="00C66CD0" w:rsidP="000E7DFC">
      <w:pPr>
        <w:pStyle w:val="Heading2"/>
        <w:jc w:val="both"/>
        <w:rPr>
          <w:rFonts w:ascii="Rockwell" w:eastAsia="Times New Roman" w:hAnsi="Rockwell" w:cs="Times New Roman"/>
          <w:b/>
          <w:color w:val="010302"/>
          <w:sz w:val="24"/>
          <w:szCs w:val="24"/>
        </w:rPr>
      </w:pPr>
      <w:bookmarkStart w:id="58" w:name="_Toc209047149"/>
      <w:r>
        <w:rPr>
          <w:rFonts w:ascii="Rockwell" w:eastAsia="Times New Roman" w:hAnsi="Rockwell" w:cs="Times New Roman"/>
          <w:b/>
          <w:color w:val="010302"/>
          <w:sz w:val="24"/>
          <w:szCs w:val="24"/>
        </w:rPr>
        <w:lastRenderedPageBreak/>
        <w:t>4.2.2</w:t>
      </w:r>
      <w:r w:rsidR="008E29E3" w:rsidRPr="004A76D7">
        <w:rPr>
          <w:rFonts w:ascii="Rockwell" w:eastAsia="Times New Roman" w:hAnsi="Rockwell" w:cs="Times New Roman"/>
          <w:b/>
          <w:color w:val="010302"/>
          <w:sz w:val="24"/>
          <w:szCs w:val="24"/>
        </w:rPr>
        <w:t xml:space="preserve"> Application of the Computing Methodologies</w:t>
      </w:r>
      <w:bookmarkEnd w:id="58"/>
    </w:p>
    <w:p w:rsidR="00C66CD0" w:rsidRPr="004A76D7" w:rsidRDefault="00C66CD0" w:rsidP="00C66CD0">
      <w:pPr>
        <w:spacing w:before="240" w:after="240"/>
        <w:jc w:val="both"/>
        <w:rPr>
          <w:rFonts w:ascii="Rockwell" w:eastAsia="Times New Roman" w:hAnsi="Rockwell" w:cs="Times New Roman"/>
          <w:color w:val="010302"/>
          <w:sz w:val="24"/>
          <w:szCs w:val="24"/>
        </w:rPr>
      </w:pPr>
      <w:r>
        <w:rPr>
          <w:rFonts w:ascii="Rockwell" w:eastAsia="Times New Roman" w:hAnsi="Rockwell" w:cs="Times New Roman"/>
          <w:color w:val="010302"/>
          <w:sz w:val="24"/>
          <w:szCs w:val="24"/>
        </w:rPr>
        <w:t>T</w:t>
      </w:r>
      <w:r w:rsidRPr="004A76D7">
        <w:rPr>
          <w:rFonts w:ascii="Rockwell" w:eastAsia="Times New Roman" w:hAnsi="Rockwell" w:cs="Times New Roman"/>
          <w:color w:val="010302"/>
          <w:sz w:val="24"/>
          <w:szCs w:val="24"/>
        </w:rPr>
        <w:t>here are three commonly used methods for computation of cost estimates for mine closure. These calculation methods vary depending on the nature and magnitude of the mining activities conducted by the operator. The computation methods of environmental rehabilitation bonds commonly applied globally are:</w:t>
      </w:r>
    </w:p>
    <w:p w:rsidR="00C66CD0" w:rsidRPr="004A76D7" w:rsidRDefault="00C66CD0" w:rsidP="00C66CD0">
      <w:pPr>
        <w:spacing w:before="240" w:after="240"/>
        <w:jc w:val="both"/>
        <w:rPr>
          <w:rFonts w:ascii="Rockwell" w:eastAsia="Times New Roman" w:hAnsi="Rockwell" w:cs="Times New Roman"/>
          <w:color w:val="010302"/>
          <w:sz w:val="24"/>
          <w:szCs w:val="24"/>
        </w:rPr>
      </w:pPr>
      <w:r w:rsidRPr="004A76D7">
        <w:rPr>
          <w:rFonts w:ascii="Rockwell" w:eastAsia="Times New Roman" w:hAnsi="Rockwell" w:cs="Times New Roman"/>
          <w:color w:val="010302"/>
          <w:sz w:val="24"/>
          <w:szCs w:val="24"/>
        </w:rPr>
        <w:t xml:space="preserve"> </w:t>
      </w:r>
      <w:proofErr w:type="spellStart"/>
      <w:r w:rsidRPr="004A76D7">
        <w:rPr>
          <w:rFonts w:ascii="Rockwell" w:eastAsia="Times New Roman" w:hAnsi="Rockwell" w:cs="Times New Roman"/>
          <w:color w:val="010302"/>
          <w:sz w:val="24"/>
          <w:szCs w:val="24"/>
        </w:rPr>
        <w:t>i</w:t>
      </w:r>
      <w:proofErr w:type="spellEnd"/>
      <w:r w:rsidRPr="004A76D7">
        <w:rPr>
          <w:rFonts w:ascii="Rockwell" w:eastAsia="Times New Roman" w:hAnsi="Rockwell" w:cs="Times New Roman"/>
          <w:color w:val="010302"/>
          <w:sz w:val="24"/>
          <w:szCs w:val="24"/>
        </w:rPr>
        <w:t>. Case-by-Case Costing</w:t>
      </w:r>
    </w:p>
    <w:p w:rsidR="00C66CD0" w:rsidRPr="004A76D7" w:rsidRDefault="00C66CD0" w:rsidP="00C66CD0">
      <w:pPr>
        <w:spacing w:before="240" w:after="240"/>
        <w:jc w:val="both"/>
        <w:rPr>
          <w:rFonts w:ascii="Rockwell" w:eastAsia="Times New Roman" w:hAnsi="Rockwell" w:cs="Times New Roman"/>
          <w:color w:val="010302"/>
          <w:sz w:val="24"/>
          <w:szCs w:val="24"/>
        </w:rPr>
      </w:pPr>
      <w:r w:rsidRPr="004A76D7">
        <w:rPr>
          <w:rFonts w:ascii="Rockwell" w:eastAsia="Times New Roman" w:hAnsi="Rockwell" w:cs="Times New Roman"/>
          <w:color w:val="010302"/>
          <w:sz w:val="24"/>
          <w:szCs w:val="24"/>
        </w:rPr>
        <w:t xml:space="preserve"> ii. Predetermined Unit Costs; and</w:t>
      </w:r>
    </w:p>
    <w:p w:rsidR="00C66CD0" w:rsidRPr="004A76D7" w:rsidRDefault="00C66CD0" w:rsidP="00C66CD0">
      <w:pPr>
        <w:spacing w:before="240" w:after="240"/>
        <w:jc w:val="both"/>
        <w:rPr>
          <w:rFonts w:ascii="Rockwell" w:eastAsia="Times New Roman" w:hAnsi="Rockwell" w:cs="Times New Roman"/>
          <w:color w:val="010302"/>
          <w:sz w:val="24"/>
          <w:szCs w:val="24"/>
        </w:rPr>
      </w:pPr>
      <w:r>
        <w:rPr>
          <w:rFonts w:ascii="Rockwell" w:eastAsia="Times New Roman" w:hAnsi="Rockwell" w:cs="Times New Roman"/>
          <w:color w:val="010302"/>
          <w:sz w:val="24"/>
          <w:szCs w:val="24"/>
        </w:rPr>
        <w:t>iii</w:t>
      </w:r>
      <w:proofErr w:type="gramStart"/>
      <w:r>
        <w:rPr>
          <w:rFonts w:ascii="Rockwell" w:eastAsia="Times New Roman" w:hAnsi="Rockwell" w:cs="Times New Roman"/>
          <w:color w:val="010302"/>
          <w:sz w:val="24"/>
          <w:szCs w:val="24"/>
        </w:rPr>
        <w:t>.  Licensee</w:t>
      </w:r>
      <w:proofErr w:type="gramEnd"/>
      <w:r>
        <w:rPr>
          <w:rFonts w:ascii="Rockwell" w:eastAsia="Times New Roman" w:hAnsi="Rockwell" w:cs="Times New Roman"/>
          <w:color w:val="010302"/>
          <w:sz w:val="24"/>
          <w:szCs w:val="24"/>
        </w:rPr>
        <w:t xml:space="preserve"> Supplied</w:t>
      </w:r>
      <w:r w:rsidRPr="004A76D7">
        <w:rPr>
          <w:rFonts w:ascii="Rockwell" w:eastAsia="Times New Roman" w:hAnsi="Rockwell" w:cs="Times New Roman"/>
          <w:color w:val="010302"/>
          <w:sz w:val="24"/>
          <w:szCs w:val="24"/>
        </w:rPr>
        <w:t xml:space="preserve"> Determined Costing</w:t>
      </w:r>
    </w:p>
    <w:p w:rsidR="008E29E3" w:rsidRDefault="008E29E3" w:rsidP="0083606E">
      <w:pPr>
        <w:pStyle w:val="Heading3"/>
        <w:numPr>
          <w:ilvl w:val="0"/>
          <w:numId w:val="38"/>
        </w:numPr>
        <w:jc w:val="both"/>
        <w:rPr>
          <w:rFonts w:ascii="Rockwell" w:eastAsia="Times New Roman" w:hAnsi="Rockwell" w:cs="Times New Roman"/>
          <w:b/>
          <w:color w:val="010302"/>
          <w:sz w:val="24"/>
          <w:szCs w:val="24"/>
        </w:rPr>
      </w:pPr>
      <w:bookmarkStart w:id="59" w:name="_Toc209047150"/>
      <w:r w:rsidRPr="004A76D7">
        <w:rPr>
          <w:rFonts w:ascii="Rockwell" w:eastAsia="Times New Roman" w:hAnsi="Rockwell" w:cs="Times New Roman"/>
          <w:b/>
          <w:color w:val="010302"/>
          <w:sz w:val="24"/>
          <w:szCs w:val="24"/>
        </w:rPr>
        <w:t>Case-by-Case Costing</w:t>
      </w:r>
      <w:bookmarkEnd w:id="59"/>
    </w:p>
    <w:p w:rsidR="00C66CD0" w:rsidRPr="00C66CD0" w:rsidRDefault="00C66CD0" w:rsidP="00C66CD0">
      <w:pPr>
        <w:spacing w:before="240" w:after="240"/>
        <w:jc w:val="both"/>
        <w:rPr>
          <w:rFonts w:ascii="Rockwell" w:eastAsia="Times New Roman" w:hAnsi="Rockwell" w:cs="Times New Roman"/>
          <w:color w:val="010302"/>
          <w:sz w:val="24"/>
          <w:szCs w:val="24"/>
        </w:rPr>
      </w:pPr>
      <w:r w:rsidRPr="00C66CD0">
        <w:rPr>
          <w:rFonts w:ascii="Rockwell" w:eastAsia="Times New Roman" w:hAnsi="Rockwell" w:cs="Times New Roman"/>
          <w:color w:val="010302"/>
          <w:sz w:val="24"/>
          <w:szCs w:val="24"/>
        </w:rPr>
        <w:t>This computation method is undertaken by calculating the total rehabilitation costs for each operation unit of a disturbed area based on the conditions and reclamation criteria of the site. The unit costs are not used from one site to another and hence no standard costs to mine reclamation. The rehabilitation bond can be reviewed and agreed by each party from time to time.</w:t>
      </w:r>
    </w:p>
    <w:p w:rsidR="008E29E3" w:rsidRPr="004A76D7" w:rsidRDefault="008E29E3" w:rsidP="000E7DFC">
      <w:pPr>
        <w:spacing w:before="240" w:after="240"/>
        <w:jc w:val="both"/>
        <w:rPr>
          <w:rFonts w:ascii="Rockwell" w:eastAsia="Times New Roman" w:hAnsi="Rockwell" w:cs="Times New Roman"/>
          <w:color w:val="010302"/>
          <w:sz w:val="24"/>
          <w:szCs w:val="24"/>
        </w:rPr>
      </w:pPr>
      <w:r w:rsidRPr="004A76D7">
        <w:rPr>
          <w:rFonts w:ascii="Rockwell" w:eastAsia="Times New Roman" w:hAnsi="Rockwell" w:cs="Times New Roman"/>
          <w:color w:val="010302"/>
          <w:sz w:val="24"/>
          <w:szCs w:val="24"/>
        </w:rPr>
        <w:t>Studies have revealed that the Case-by-Case method of computation of rehabilitation costs is the best method as compared to other computation methods in that it ensures that the bond posted by the operator to the Government fully covers the costs of rehabilitation and reclamation of the mine after closure. This type of calculation is deemed sensible because the total rehabilitation costs for a disturbed area of an individual mine is calculated separately based on the prevailing physical conditions of a particular mine site.</w:t>
      </w:r>
    </w:p>
    <w:p w:rsidR="008E29E3" w:rsidRPr="004A76D7" w:rsidRDefault="008E29E3" w:rsidP="000E7DFC">
      <w:pPr>
        <w:spacing w:before="240" w:after="240"/>
        <w:jc w:val="both"/>
        <w:rPr>
          <w:rFonts w:ascii="Rockwell" w:eastAsia="Times New Roman" w:hAnsi="Rockwell" w:cs="Times New Roman"/>
          <w:i/>
          <w:color w:val="010302"/>
          <w:sz w:val="24"/>
          <w:szCs w:val="24"/>
        </w:rPr>
      </w:pPr>
      <w:r w:rsidRPr="004A76D7">
        <w:rPr>
          <w:rFonts w:ascii="Rockwell" w:eastAsia="Times New Roman" w:hAnsi="Rockwell" w:cs="Times New Roman"/>
          <w:i/>
          <w:color w:val="010302"/>
          <w:sz w:val="24"/>
          <w:szCs w:val="24"/>
        </w:rPr>
        <w:t>Environmental rehabilitation cost (Case-by-Case Costing) = function of {volume of material to be moved, costs of equipment hiring, labor charges, costs of materials needed for rehabilitation, time required for rehabilitation}</w:t>
      </w:r>
    </w:p>
    <w:p w:rsidR="008E29E3" w:rsidRDefault="008E29E3" w:rsidP="0083606E">
      <w:pPr>
        <w:pStyle w:val="Heading3"/>
        <w:numPr>
          <w:ilvl w:val="0"/>
          <w:numId w:val="38"/>
        </w:numPr>
        <w:jc w:val="both"/>
        <w:rPr>
          <w:rFonts w:ascii="Rockwell" w:eastAsia="Times New Roman" w:hAnsi="Rockwell" w:cs="Times New Roman"/>
          <w:b/>
          <w:color w:val="010302"/>
          <w:sz w:val="24"/>
          <w:szCs w:val="24"/>
        </w:rPr>
      </w:pPr>
      <w:bookmarkStart w:id="60" w:name="_Toc209047151"/>
      <w:r w:rsidRPr="004A76D7">
        <w:rPr>
          <w:rFonts w:ascii="Rockwell" w:eastAsia="Times New Roman" w:hAnsi="Rockwell" w:cs="Times New Roman"/>
          <w:b/>
          <w:color w:val="010302"/>
          <w:sz w:val="24"/>
          <w:szCs w:val="24"/>
        </w:rPr>
        <w:t>Predetermined Unit Costs</w:t>
      </w:r>
      <w:bookmarkEnd w:id="60"/>
    </w:p>
    <w:p w:rsidR="00C66CD0" w:rsidRPr="00C66CD0" w:rsidRDefault="00C66CD0" w:rsidP="00C66CD0">
      <w:pPr>
        <w:spacing w:before="240" w:after="240"/>
        <w:jc w:val="both"/>
        <w:rPr>
          <w:rFonts w:ascii="Rockwell" w:eastAsia="Times New Roman" w:hAnsi="Rockwell" w:cs="Times New Roman"/>
          <w:color w:val="010302"/>
          <w:sz w:val="24"/>
          <w:szCs w:val="24"/>
        </w:rPr>
      </w:pPr>
      <w:r w:rsidRPr="00C66CD0">
        <w:rPr>
          <w:rFonts w:ascii="Rockwell" w:eastAsia="Times New Roman" w:hAnsi="Rockwell" w:cs="Times New Roman"/>
          <w:color w:val="010302"/>
          <w:sz w:val="24"/>
          <w:szCs w:val="24"/>
        </w:rPr>
        <w:t xml:space="preserve">In this type of computation method of rehabilitation bond, the amount of bond is usually set to a level equal to what can be expected to be ‘normal rehabilitation costs’. Generally, a case study at a particular mine is conducted through which each unit cost is determined and then used as a standard cost from site to site. This computation method saves considerable time and is appropriate for bond auditing but doesn’t account for specific site conditions that can vary due to the type of mining operation; the competence of the mineral right holder; the topography; climate and soil types; and the rehabilitation plan. </w:t>
      </w:r>
    </w:p>
    <w:p w:rsidR="00C66CD0" w:rsidRPr="00C66CD0" w:rsidRDefault="00C66CD0" w:rsidP="00C66CD0"/>
    <w:p w:rsidR="008E29E3" w:rsidRPr="004A76D7" w:rsidRDefault="008E29E3" w:rsidP="000E7DFC">
      <w:pPr>
        <w:spacing w:before="240" w:after="240"/>
        <w:jc w:val="both"/>
        <w:rPr>
          <w:rFonts w:ascii="Rockwell" w:eastAsia="Times New Roman" w:hAnsi="Rockwell" w:cs="Times New Roman"/>
          <w:color w:val="010302"/>
          <w:sz w:val="24"/>
          <w:szCs w:val="24"/>
        </w:rPr>
      </w:pPr>
      <w:r w:rsidRPr="004A76D7">
        <w:rPr>
          <w:rFonts w:ascii="Rockwell" w:eastAsia="Times New Roman" w:hAnsi="Rockwell" w:cs="Times New Roman"/>
          <w:color w:val="010302"/>
          <w:sz w:val="24"/>
          <w:szCs w:val="24"/>
        </w:rPr>
        <w:lastRenderedPageBreak/>
        <w:t xml:space="preserve">This computation method saves considerable time, is less burdensome administratively and is appropriate for bond auditing. </w:t>
      </w:r>
      <w:r w:rsidR="00F02F6C">
        <w:rPr>
          <w:rFonts w:ascii="Rockwell" w:eastAsia="Times New Roman" w:hAnsi="Rockwell" w:cs="Times New Roman"/>
          <w:color w:val="010302"/>
          <w:sz w:val="24"/>
          <w:szCs w:val="24"/>
        </w:rPr>
        <w:t>B</w:t>
      </w:r>
      <w:r w:rsidRPr="004A76D7">
        <w:rPr>
          <w:rFonts w:ascii="Rockwell" w:eastAsia="Times New Roman" w:hAnsi="Rockwell" w:cs="Times New Roman"/>
          <w:color w:val="010302"/>
          <w:sz w:val="24"/>
          <w:szCs w:val="24"/>
        </w:rPr>
        <w:t>el</w:t>
      </w:r>
      <w:r w:rsidR="00F40FFF">
        <w:rPr>
          <w:rFonts w:ascii="Rockwell" w:eastAsia="Times New Roman" w:hAnsi="Rockwell" w:cs="Times New Roman"/>
          <w:color w:val="010302"/>
          <w:sz w:val="24"/>
          <w:szCs w:val="24"/>
        </w:rPr>
        <w:t>ow are the standard</w:t>
      </w:r>
      <w:r w:rsidRPr="004A76D7">
        <w:rPr>
          <w:rFonts w:ascii="Rockwell" w:eastAsia="Times New Roman" w:hAnsi="Rockwell" w:cs="Times New Roman"/>
          <w:color w:val="010302"/>
          <w:sz w:val="24"/>
          <w:szCs w:val="24"/>
        </w:rPr>
        <w:t xml:space="preserve"> rates applicable;</w:t>
      </w:r>
    </w:p>
    <w:p w:rsidR="008E29E3" w:rsidRPr="0083606E" w:rsidRDefault="008E29E3" w:rsidP="0083606E">
      <w:pPr>
        <w:pStyle w:val="ListParagraph"/>
        <w:numPr>
          <w:ilvl w:val="0"/>
          <w:numId w:val="39"/>
        </w:numPr>
        <w:spacing w:after="240"/>
        <w:jc w:val="both"/>
        <w:rPr>
          <w:rFonts w:ascii="Rockwell" w:eastAsia="Times New Roman" w:hAnsi="Rockwell" w:cs="Times New Roman"/>
          <w:b/>
          <w:sz w:val="24"/>
          <w:szCs w:val="24"/>
        </w:rPr>
      </w:pPr>
      <w:r w:rsidRPr="0083606E">
        <w:rPr>
          <w:rFonts w:ascii="Rockwell" w:eastAsia="Times New Roman" w:hAnsi="Rockwell" w:cs="Times New Roman"/>
          <w:b/>
          <w:sz w:val="24"/>
          <w:szCs w:val="24"/>
        </w:rPr>
        <w:t>Environmental deposit bonds for exploration/prospecting sites for mining</w:t>
      </w:r>
    </w:p>
    <w:p w:rsidR="008E29E3" w:rsidRPr="004A76D7" w:rsidRDefault="008E29E3" w:rsidP="000E7DFC">
      <w:pPr>
        <w:spacing w:before="240" w:after="240"/>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A deposit bond is applied at the time the first work plan for a prospecting permit</w:t>
      </w:r>
      <w:r w:rsidR="00F40FFF">
        <w:rPr>
          <w:rFonts w:ascii="Rockwell" w:eastAsia="Times New Roman" w:hAnsi="Rockwell" w:cs="Times New Roman"/>
          <w:color w:val="333333"/>
          <w:sz w:val="24"/>
          <w:szCs w:val="24"/>
        </w:rPr>
        <w:t>/license</w:t>
      </w:r>
      <w:r w:rsidRPr="004A76D7">
        <w:rPr>
          <w:rFonts w:ascii="Rockwell" w:eastAsia="Times New Roman" w:hAnsi="Rockwell" w:cs="Times New Roman"/>
          <w:color w:val="333333"/>
          <w:sz w:val="24"/>
          <w:szCs w:val="24"/>
        </w:rPr>
        <w:t xml:space="preserve"> is approved. </w:t>
      </w:r>
    </w:p>
    <w:p w:rsidR="008E29E3" w:rsidRPr="004A76D7" w:rsidRDefault="008E29E3" w:rsidP="000E7DFC">
      <w:pPr>
        <w:spacing w:before="240"/>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 xml:space="preserve">a) </w:t>
      </w:r>
      <w:r w:rsidRPr="004A76D7">
        <w:rPr>
          <w:rFonts w:ascii="Rockwell" w:eastAsia="Times New Roman" w:hAnsi="Rockwell" w:cs="Times New Roman"/>
          <w:color w:val="333333"/>
          <w:sz w:val="24"/>
          <w:szCs w:val="24"/>
        </w:rPr>
        <w:tab/>
        <w:t xml:space="preserve">For Small Scale Prospecting Bond Amount is </w:t>
      </w:r>
      <w:r w:rsidR="003501B1" w:rsidRPr="004A76D7">
        <w:rPr>
          <w:rFonts w:ascii="Rockwell" w:eastAsia="Times New Roman" w:hAnsi="Rockwell" w:cs="Times New Roman"/>
          <w:color w:val="333333"/>
          <w:sz w:val="24"/>
          <w:szCs w:val="24"/>
        </w:rPr>
        <w:t>prescribed as</w:t>
      </w:r>
      <w:r w:rsidRPr="004A76D7">
        <w:rPr>
          <w:rFonts w:ascii="Rockwell" w:eastAsia="Times New Roman" w:hAnsi="Rockwell" w:cs="Times New Roman"/>
          <w:color w:val="333333"/>
          <w:sz w:val="24"/>
          <w:szCs w:val="24"/>
        </w:rPr>
        <w:t xml:space="preserve"> </w:t>
      </w:r>
      <w:proofErr w:type="spellStart"/>
      <w:r w:rsidRPr="004A76D7">
        <w:rPr>
          <w:rFonts w:ascii="Rockwell" w:eastAsia="Times New Roman" w:hAnsi="Rockwell" w:cs="Times New Roman"/>
          <w:color w:val="333333"/>
          <w:sz w:val="24"/>
          <w:szCs w:val="24"/>
        </w:rPr>
        <w:t>Ksh</w:t>
      </w:r>
      <w:proofErr w:type="spellEnd"/>
      <w:r w:rsidRPr="004A76D7">
        <w:rPr>
          <w:rFonts w:ascii="Rockwell" w:eastAsia="Times New Roman" w:hAnsi="Rockwell" w:cs="Times New Roman"/>
          <w:color w:val="333333"/>
          <w:sz w:val="24"/>
          <w:szCs w:val="24"/>
        </w:rPr>
        <w:t xml:space="preserve">. 20,000 per sq. Km subject to a minimum of </w:t>
      </w:r>
      <w:proofErr w:type="spellStart"/>
      <w:r w:rsidRPr="004A76D7">
        <w:rPr>
          <w:rFonts w:ascii="Rockwell" w:eastAsia="Times New Roman" w:hAnsi="Rockwell" w:cs="Times New Roman"/>
          <w:color w:val="333333"/>
          <w:sz w:val="24"/>
          <w:szCs w:val="24"/>
        </w:rPr>
        <w:t>Ksh</w:t>
      </w:r>
      <w:proofErr w:type="spellEnd"/>
      <w:r w:rsidRPr="004A76D7">
        <w:rPr>
          <w:rFonts w:ascii="Rockwell" w:eastAsia="Times New Roman" w:hAnsi="Rockwell" w:cs="Times New Roman"/>
          <w:color w:val="333333"/>
          <w:sz w:val="24"/>
          <w:szCs w:val="24"/>
        </w:rPr>
        <w:t>. 50,000 against the mineral right holder Remediation Cost estimates</w:t>
      </w:r>
      <w:r w:rsidR="00384ABC">
        <w:rPr>
          <w:rFonts w:ascii="Rockwell" w:eastAsia="Times New Roman" w:hAnsi="Rockwell" w:cs="Times New Roman"/>
          <w:color w:val="333333"/>
          <w:sz w:val="24"/>
          <w:szCs w:val="24"/>
        </w:rPr>
        <w:t>.</w:t>
      </w:r>
    </w:p>
    <w:p w:rsidR="008E29E3" w:rsidRPr="004A76D7" w:rsidRDefault="008E29E3" w:rsidP="000E7DFC">
      <w:pPr>
        <w:ind w:left="1080"/>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 xml:space="preserve"> </w:t>
      </w:r>
    </w:p>
    <w:p w:rsidR="008E29E3" w:rsidRPr="004A76D7" w:rsidRDefault="008E29E3" w:rsidP="000E7DFC">
      <w:pPr>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b)</w:t>
      </w:r>
      <w:r w:rsidRPr="004A76D7">
        <w:rPr>
          <w:rFonts w:ascii="Rockwell" w:eastAsia="Times New Roman" w:hAnsi="Rockwell" w:cs="Times New Roman"/>
          <w:color w:val="333333"/>
          <w:sz w:val="24"/>
          <w:szCs w:val="24"/>
        </w:rPr>
        <w:tab/>
      </w:r>
      <w:r w:rsidRPr="004A76D7">
        <w:rPr>
          <w:rFonts w:ascii="Rockwell" w:eastAsia="Times New Roman" w:hAnsi="Rockwell" w:cs="Times New Roman"/>
          <w:sz w:val="24"/>
          <w:szCs w:val="24"/>
        </w:rPr>
        <w:t xml:space="preserve">For large-scale exploration works where there is extensive mechanical excavation, large diameter drilling or track construction, </w:t>
      </w:r>
      <w:r w:rsidR="003501B1" w:rsidRPr="004A76D7">
        <w:rPr>
          <w:rFonts w:ascii="Rockwell" w:eastAsia="Times New Roman" w:hAnsi="Rockwell" w:cs="Times New Roman"/>
          <w:color w:val="333333"/>
          <w:sz w:val="24"/>
          <w:szCs w:val="24"/>
        </w:rPr>
        <w:t>the Prospecting</w:t>
      </w:r>
      <w:r w:rsidRPr="004A76D7">
        <w:rPr>
          <w:rFonts w:ascii="Rockwell" w:eastAsia="Times New Roman" w:hAnsi="Rockwell" w:cs="Times New Roman"/>
          <w:color w:val="333333"/>
          <w:sz w:val="24"/>
          <w:szCs w:val="24"/>
        </w:rPr>
        <w:t xml:space="preserve"> Bond Amount is </w:t>
      </w:r>
      <w:r w:rsidR="003501B1" w:rsidRPr="004A76D7">
        <w:rPr>
          <w:rFonts w:ascii="Rockwell" w:eastAsia="Times New Roman" w:hAnsi="Rockwell" w:cs="Times New Roman"/>
          <w:color w:val="333333"/>
          <w:sz w:val="24"/>
          <w:szCs w:val="24"/>
        </w:rPr>
        <w:t>prescribed as</w:t>
      </w:r>
      <w:r w:rsidRPr="004A76D7">
        <w:rPr>
          <w:rFonts w:ascii="Rockwell" w:eastAsia="Times New Roman" w:hAnsi="Rockwell" w:cs="Times New Roman"/>
          <w:color w:val="333333"/>
          <w:sz w:val="24"/>
          <w:szCs w:val="24"/>
        </w:rPr>
        <w:t xml:space="preserve"> </w:t>
      </w:r>
      <w:proofErr w:type="spellStart"/>
      <w:r w:rsidRPr="004A76D7">
        <w:rPr>
          <w:rFonts w:ascii="Rockwell" w:eastAsia="Times New Roman" w:hAnsi="Rockwell" w:cs="Times New Roman"/>
          <w:color w:val="333333"/>
          <w:sz w:val="24"/>
          <w:szCs w:val="24"/>
        </w:rPr>
        <w:t>Ksh</w:t>
      </w:r>
      <w:proofErr w:type="spellEnd"/>
      <w:r w:rsidRPr="004A76D7">
        <w:rPr>
          <w:rFonts w:ascii="Rockwell" w:eastAsia="Times New Roman" w:hAnsi="Rockwell" w:cs="Times New Roman"/>
          <w:color w:val="333333"/>
          <w:sz w:val="24"/>
          <w:szCs w:val="24"/>
        </w:rPr>
        <w:t xml:space="preserve">. 20,000 per </w:t>
      </w:r>
      <w:proofErr w:type="spellStart"/>
      <w:r w:rsidRPr="004A76D7">
        <w:rPr>
          <w:rFonts w:ascii="Rockwell" w:eastAsia="Times New Roman" w:hAnsi="Rockwell" w:cs="Times New Roman"/>
          <w:color w:val="333333"/>
          <w:sz w:val="24"/>
          <w:szCs w:val="24"/>
        </w:rPr>
        <w:t>sq</w:t>
      </w:r>
      <w:proofErr w:type="spellEnd"/>
      <w:r w:rsidRPr="004A76D7">
        <w:rPr>
          <w:rFonts w:ascii="Rockwell" w:eastAsia="Times New Roman" w:hAnsi="Rockwell" w:cs="Times New Roman"/>
          <w:color w:val="333333"/>
          <w:sz w:val="24"/>
          <w:szCs w:val="24"/>
        </w:rPr>
        <w:t xml:space="preserve"> </w:t>
      </w:r>
      <w:r w:rsidR="003501B1" w:rsidRPr="004A76D7">
        <w:rPr>
          <w:rFonts w:ascii="Rockwell" w:eastAsia="Times New Roman" w:hAnsi="Rockwell" w:cs="Times New Roman"/>
          <w:color w:val="333333"/>
          <w:sz w:val="24"/>
          <w:szCs w:val="24"/>
        </w:rPr>
        <w:t>Km subject</w:t>
      </w:r>
      <w:r w:rsidRPr="004A76D7">
        <w:rPr>
          <w:rFonts w:ascii="Rockwell" w:eastAsia="Times New Roman" w:hAnsi="Rockwell" w:cs="Times New Roman"/>
          <w:color w:val="333333"/>
          <w:sz w:val="24"/>
          <w:szCs w:val="24"/>
        </w:rPr>
        <w:t xml:space="preserve"> to a minimum of </w:t>
      </w:r>
      <w:proofErr w:type="spellStart"/>
      <w:r w:rsidRPr="004A76D7">
        <w:rPr>
          <w:rFonts w:ascii="Rockwell" w:eastAsia="Times New Roman" w:hAnsi="Rockwell" w:cs="Times New Roman"/>
          <w:color w:val="333333"/>
          <w:sz w:val="24"/>
          <w:szCs w:val="24"/>
        </w:rPr>
        <w:t>Ksh</w:t>
      </w:r>
      <w:proofErr w:type="spellEnd"/>
      <w:r w:rsidRPr="004A76D7">
        <w:rPr>
          <w:rFonts w:ascii="Rockwell" w:eastAsia="Times New Roman" w:hAnsi="Rockwell" w:cs="Times New Roman"/>
          <w:color w:val="333333"/>
          <w:sz w:val="24"/>
          <w:szCs w:val="24"/>
        </w:rPr>
        <w:t>. 1,000,000 against the mineral right holder Remediation Cost estimates.</w:t>
      </w:r>
    </w:p>
    <w:p w:rsidR="008E29E3" w:rsidRPr="004A76D7" w:rsidRDefault="008E29E3" w:rsidP="000E7DFC">
      <w:pPr>
        <w:ind w:left="1080"/>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 xml:space="preserve"> </w:t>
      </w:r>
    </w:p>
    <w:p w:rsidR="008E29E3" w:rsidRPr="009C0E5B" w:rsidRDefault="008E29E3" w:rsidP="009C0E5B">
      <w:pPr>
        <w:pStyle w:val="ListParagraph"/>
        <w:numPr>
          <w:ilvl w:val="0"/>
          <w:numId w:val="39"/>
        </w:numPr>
        <w:spacing w:after="240"/>
        <w:jc w:val="both"/>
        <w:rPr>
          <w:rFonts w:ascii="Rockwell" w:eastAsia="Times New Roman" w:hAnsi="Rockwell" w:cs="Times New Roman"/>
          <w:b/>
          <w:sz w:val="24"/>
          <w:szCs w:val="24"/>
        </w:rPr>
      </w:pPr>
      <w:r w:rsidRPr="009C0E5B">
        <w:rPr>
          <w:rFonts w:ascii="Rockwell" w:eastAsia="Times New Roman" w:hAnsi="Rockwell" w:cs="Times New Roman"/>
          <w:b/>
          <w:sz w:val="24"/>
          <w:szCs w:val="24"/>
        </w:rPr>
        <w:t xml:space="preserve">Environmental deposit Bond Rates for Artisanal and Small </w:t>
      </w:r>
      <w:r w:rsidR="003501B1" w:rsidRPr="009C0E5B">
        <w:rPr>
          <w:rFonts w:ascii="Rockwell" w:eastAsia="Times New Roman" w:hAnsi="Rockwell" w:cs="Times New Roman"/>
          <w:b/>
          <w:sz w:val="24"/>
          <w:szCs w:val="24"/>
        </w:rPr>
        <w:t>Scale</w:t>
      </w:r>
      <w:r w:rsidRPr="009C0E5B">
        <w:rPr>
          <w:rFonts w:ascii="Rockwell" w:eastAsia="Times New Roman" w:hAnsi="Rockwell" w:cs="Times New Roman"/>
          <w:b/>
          <w:sz w:val="24"/>
          <w:szCs w:val="24"/>
        </w:rPr>
        <w:t xml:space="preserve"> Mines</w:t>
      </w:r>
    </w:p>
    <w:p w:rsidR="008E29E3" w:rsidRPr="004A76D7" w:rsidRDefault="008E29E3" w:rsidP="000E7DFC">
      <w:pPr>
        <w:spacing w:before="240" w:after="240"/>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In determining the bond, several factors will be applied including but not limited to;</w:t>
      </w:r>
    </w:p>
    <w:p w:rsidR="008E29E3" w:rsidRPr="004A76D7" w:rsidRDefault="008E29E3" w:rsidP="000E7DFC">
      <w:pPr>
        <w:pStyle w:val="ListParagraph"/>
        <w:numPr>
          <w:ilvl w:val="0"/>
          <w:numId w:val="7"/>
        </w:numPr>
        <w:spacing w:before="240"/>
        <w:ind w:left="1276"/>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Risk ran</w:t>
      </w:r>
      <w:r w:rsidR="00AD5D8B" w:rsidRPr="004A76D7">
        <w:rPr>
          <w:rFonts w:ascii="Rockwell" w:eastAsia="Times New Roman" w:hAnsi="Rockwell" w:cs="Times New Roman"/>
          <w:color w:val="333333"/>
          <w:sz w:val="24"/>
          <w:szCs w:val="24"/>
        </w:rPr>
        <w:t>king for the mine type, product</w:t>
      </w:r>
      <w:r w:rsidRPr="004A76D7">
        <w:rPr>
          <w:rFonts w:ascii="Rockwell" w:eastAsia="Times New Roman" w:hAnsi="Rockwell" w:cs="Times New Roman"/>
          <w:color w:val="333333"/>
          <w:sz w:val="24"/>
          <w:szCs w:val="24"/>
        </w:rPr>
        <w:t xml:space="preserve"> and by product</w:t>
      </w:r>
    </w:p>
    <w:p w:rsidR="008E29E3" w:rsidRPr="004A76D7" w:rsidRDefault="008E29E3" w:rsidP="000E7DFC">
      <w:pPr>
        <w:pStyle w:val="ListParagraph"/>
        <w:numPr>
          <w:ilvl w:val="0"/>
          <w:numId w:val="7"/>
        </w:numPr>
        <w:ind w:left="1276"/>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Environmental sensitivity of the Mining area</w:t>
      </w:r>
    </w:p>
    <w:p w:rsidR="008E29E3" w:rsidRPr="004A76D7" w:rsidRDefault="008E29E3" w:rsidP="000E7DFC">
      <w:pPr>
        <w:pStyle w:val="ListParagraph"/>
        <w:numPr>
          <w:ilvl w:val="0"/>
          <w:numId w:val="7"/>
        </w:numPr>
        <w:ind w:left="1276"/>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Type of mining operation- open cast, underground</w:t>
      </w:r>
    </w:p>
    <w:p w:rsidR="008E29E3" w:rsidRPr="004A76D7" w:rsidRDefault="008E29E3" w:rsidP="000E7DFC">
      <w:pPr>
        <w:pStyle w:val="ListParagraph"/>
        <w:numPr>
          <w:ilvl w:val="0"/>
          <w:numId w:val="7"/>
        </w:numPr>
        <w:ind w:left="1276"/>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Heritage and cultural sensitivity of the area</w:t>
      </w:r>
    </w:p>
    <w:p w:rsidR="008E29E3" w:rsidRPr="004A76D7" w:rsidRDefault="00AD5D8B" w:rsidP="000E7DFC">
      <w:pPr>
        <w:pStyle w:val="ListParagraph"/>
        <w:numPr>
          <w:ilvl w:val="0"/>
          <w:numId w:val="7"/>
        </w:numPr>
        <w:ind w:left="1276"/>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Closure costs</w:t>
      </w:r>
      <w:r w:rsidR="008E29E3" w:rsidRPr="004A76D7">
        <w:rPr>
          <w:rFonts w:ascii="Rockwell" w:eastAsia="Times New Roman" w:hAnsi="Rockwell" w:cs="Times New Roman"/>
          <w:color w:val="333333"/>
          <w:sz w:val="24"/>
          <w:szCs w:val="24"/>
        </w:rPr>
        <w:t xml:space="preserve"> - remedia</w:t>
      </w:r>
      <w:r w:rsidR="003501B1" w:rsidRPr="004A76D7">
        <w:rPr>
          <w:rFonts w:ascii="Rockwell" w:eastAsia="Times New Roman" w:hAnsi="Rockwell" w:cs="Times New Roman"/>
          <w:color w:val="333333"/>
          <w:sz w:val="24"/>
          <w:szCs w:val="24"/>
        </w:rPr>
        <w:t>tion (grasses on denuded areas)</w:t>
      </w:r>
      <w:r w:rsidR="008E29E3" w:rsidRPr="004A76D7">
        <w:rPr>
          <w:rFonts w:ascii="Rockwell" w:eastAsia="Times New Roman" w:hAnsi="Rockwell" w:cs="Times New Roman"/>
          <w:color w:val="333333"/>
          <w:sz w:val="24"/>
          <w:szCs w:val="24"/>
        </w:rPr>
        <w:t>, structu</w:t>
      </w:r>
      <w:r w:rsidR="003501B1" w:rsidRPr="004A76D7">
        <w:rPr>
          <w:rFonts w:ascii="Rockwell" w:eastAsia="Times New Roman" w:hAnsi="Rockwell" w:cs="Times New Roman"/>
          <w:color w:val="333333"/>
          <w:sz w:val="24"/>
          <w:szCs w:val="24"/>
        </w:rPr>
        <w:t>res decommissioning of machines</w:t>
      </w:r>
      <w:r w:rsidR="008E29E3" w:rsidRPr="004A76D7">
        <w:rPr>
          <w:rFonts w:ascii="Rockwell" w:eastAsia="Times New Roman" w:hAnsi="Rockwell" w:cs="Times New Roman"/>
          <w:color w:val="333333"/>
          <w:sz w:val="24"/>
          <w:szCs w:val="24"/>
        </w:rPr>
        <w:t>, sealing of shafts, waste deposits and evaporation ponds, subsided areas</w:t>
      </w:r>
    </w:p>
    <w:p w:rsidR="008E29E3" w:rsidRPr="004A76D7" w:rsidRDefault="008E29E3" w:rsidP="000E7DFC">
      <w:pPr>
        <w:pStyle w:val="ListParagraph"/>
        <w:numPr>
          <w:ilvl w:val="0"/>
          <w:numId w:val="7"/>
        </w:numPr>
        <w:spacing w:after="240"/>
        <w:ind w:left="1276"/>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Overall size of the mine</w:t>
      </w:r>
    </w:p>
    <w:p w:rsidR="008E29E3" w:rsidRPr="004A76D7" w:rsidRDefault="008E29E3" w:rsidP="000E7DFC">
      <w:pPr>
        <w:spacing w:before="240" w:after="240"/>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Based on the above factors,</w:t>
      </w:r>
      <w:r w:rsidR="00AD5D8B" w:rsidRPr="004A76D7">
        <w:rPr>
          <w:rFonts w:ascii="Rockwell" w:eastAsia="Times New Roman" w:hAnsi="Rockwell" w:cs="Times New Roman"/>
          <w:color w:val="333333"/>
          <w:sz w:val="24"/>
          <w:szCs w:val="24"/>
        </w:rPr>
        <w:t xml:space="preserve"> </w:t>
      </w:r>
      <w:r w:rsidRPr="004A76D7">
        <w:rPr>
          <w:rFonts w:ascii="Rockwell" w:eastAsia="Times New Roman" w:hAnsi="Rockwell" w:cs="Times New Roman"/>
          <w:color w:val="333333"/>
          <w:sz w:val="24"/>
          <w:szCs w:val="24"/>
        </w:rPr>
        <w:t>the environmental deposit bond rate for artisanal and small scale mines is as follows;</w:t>
      </w:r>
    </w:p>
    <w:p w:rsidR="008E29E3" w:rsidRPr="000E7DFC" w:rsidRDefault="008E29E3" w:rsidP="000E7DFC">
      <w:pPr>
        <w:pStyle w:val="ListParagraph"/>
        <w:numPr>
          <w:ilvl w:val="0"/>
          <w:numId w:val="24"/>
        </w:numPr>
        <w:spacing w:before="240"/>
        <w:jc w:val="both"/>
        <w:rPr>
          <w:rFonts w:ascii="Rockwell" w:eastAsia="Times New Roman" w:hAnsi="Rockwell" w:cs="Times New Roman"/>
          <w:color w:val="333333"/>
          <w:sz w:val="24"/>
          <w:szCs w:val="24"/>
        </w:rPr>
      </w:pPr>
      <w:r w:rsidRPr="000E7DFC">
        <w:rPr>
          <w:rFonts w:ascii="Rockwell" w:eastAsia="Times New Roman" w:hAnsi="Rockwell" w:cs="Times New Roman"/>
          <w:color w:val="333333"/>
          <w:sz w:val="24"/>
          <w:szCs w:val="24"/>
        </w:rPr>
        <w:t xml:space="preserve">Artisanal Mining Bond Amount is prescribed as a minimum of </w:t>
      </w:r>
      <w:proofErr w:type="spellStart"/>
      <w:r w:rsidRPr="000E7DFC">
        <w:rPr>
          <w:rFonts w:ascii="Rockwell" w:eastAsia="Times New Roman" w:hAnsi="Rockwell" w:cs="Times New Roman"/>
          <w:color w:val="333333"/>
          <w:sz w:val="24"/>
          <w:szCs w:val="24"/>
        </w:rPr>
        <w:t>Ksh</w:t>
      </w:r>
      <w:proofErr w:type="spellEnd"/>
      <w:r w:rsidRPr="000E7DFC">
        <w:rPr>
          <w:rFonts w:ascii="Rockwell" w:eastAsia="Times New Roman" w:hAnsi="Rockwell" w:cs="Times New Roman"/>
          <w:color w:val="333333"/>
          <w:sz w:val="24"/>
          <w:szCs w:val="24"/>
        </w:rPr>
        <w:t>. 50,000 against the mineral right holder Remediation Cost estimates.</w:t>
      </w:r>
    </w:p>
    <w:p w:rsidR="008E29E3" w:rsidRDefault="008E29E3" w:rsidP="000E7DFC">
      <w:pPr>
        <w:pStyle w:val="ListParagraph"/>
        <w:numPr>
          <w:ilvl w:val="0"/>
          <w:numId w:val="24"/>
        </w:numPr>
        <w:spacing w:after="240"/>
        <w:jc w:val="both"/>
        <w:rPr>
          <w:rFonts w:ascii="Rockwell" w:eastAsia="Times New Roman" w:hAnsi="Rockwell" w:cs="Times New Roman"/>
          <w:color w:val="333333"/>
          <w:sz w:val="24"/>
          <w:szCs w:val="24"/>
        </w:rPr>
      </w:pPr>
      <w:r w:rsidRPr="000E7DFC">
        <w:rPr>
          <w:rFonts w:ascii="Rockwell" w:eastAsia="Times New Roman" w:hAnsi="Rockwell" w:cs="Times New Roman"/>
          <w:color w:val="333333"/>
          <w:sz w:val="24"/>
          <w:szCs w:val="24"/>
        </w:rPr>
        <w:t xml:space="preserve">Small Scale Mining Bond Amount is prescribed as a minimum </w:t>
      </w:r>
      <w:proofErr w:type="spellStart"/>
      <w:r w:rsidRPr="000E7DFC">
        <w:rPr>
          <w:rFonts w:ascii="Rockwell" w:eastAsia="Times New Roman" w:hAnsi="Rockwell" w:cs="Times New Roman"/>
          <w:color w:val="333333"/>
          <w:sz w:val="24"/>
          <w:szCs w:val="24"/>
        </w:rPr>
        <w:t>Ksh</w:t>
      </w:r>
      <w:proofErr w:type="spellEnd"/>
      <w:r w:rsidRPr="000E7DFC">
        <w:rPr>
          <w:rFonts w:ascii="Rockwell" w:eastAsia="Times New Roman" w:hAnsi="Rockwell" w:cs="Times New Roman"/>
          <w:color w:val="333333"/>
          <w:sz w:val="24"/>
          <w:szCs w:val="24"/>
        </w:rPr>
        <w:t>. 250,000 against the mineral right holder Remediation Cost estimate</w:t>
      </w:r>
      <w:r w:rsidR="009C0E5B">
        <w:rPr>
          <w:rFonts w:ascii="Rockwell" w:eastAsia="Times New Roman" w:hAnsi="Rockwell" w:cs="Times New Roman"/>
          <w:color w:val="333333"/>
          <w:sz w:val="24"/>
          <w:szCs w:val="24"/>
        </w:rPr>
        <w:t>.</w:t>
      </w:r>
    </w:p>
    <w:p w:rsidR="009C0E5B" w:rsidRPr="000E7DFC" w:rsidRDefault="009C0E5B" w:rsidP="009C0E5B">
      <w:pPr>
        <w:pStyle w:val="ListParagraph"/>
        <w:spacing w:after="240"/>
        <w:jc w:val="both"/>
        <w:rPr>
          <w:rFonts w:ascii="Rockwell" w:eastAsia="Times New Roman" w:hAnsi="Rockwell" w:cs="Times New Roman"/>
          <w:color w:val="333333"/>
          <w:sz w:val="24"/>
          <w:szCs w:val="24"/>
        </w:rPr>
      </w:pPr>
    </w:p>
    <w:p w:rsidR="008E29E3" w:rsidRPr="009C0E5B" w:rsidRDefault="008E29E3" w:rsidP="009C0E5B">
      <w:pPr>
        <w:pStyle w:val="ListParagraph"/>
        <w:numPr>
          <w:ilvl w:val="0"/>
          <w:numId w:val="39"/>
        </w:numPr>
        <w:spacing w:before="240" w:after="240"/>
        <w:jc w:val="both"/>
        <w:rPr>
          <w:rFonts w:ascii="Rockwell" w:eastAsia="Times New Roman" w:hAnsi="Rockwell" w:cs="Times New Roman"/>
          <w:b/>
          <w:sz w:val="24"/>
          <w:szCs w:val="24"/>
        </w:rPr>
      </w:pPr>
      <w:r w:rsidRPr="009C0E5B">
        <w:rPr>
          <w:rFonts w:ascii="Rockwell" w:eastAsia="Times New Roman" w:hAnsi="Rockwell" w:cs="Times New Roman"/>
          <w:b/>
          <w:sz w:val="24"/>
          <w:szCs w:val="24"/>
        </w:rPr>
        <w:t>Environmental Deposit bonds for large scale mines</w:t>
      </w:r>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The primary sources of information for determining the required remediation activities and their magnitude should be the approved work plan, relevant work </w:t>
      </w:r>
      <w:r w:rsidRPr="004A76D7">
        <w:rPr>
          <w:rFonts w:ascii="Rockwell" w:eastAsia="Times New Roman" w:hAnsi="Rockwell" w:cs="Times New Roman"/>
          <w:sz w:val="24"/>
          <w:szCs w:val="24"/>
        </w:rPr>
        <w:lastRenderedPageBreak/>
        <w:t xml:space="preserve">plan variations, license or work authority conditions, and a site plan showing current site disturbance. </w:t>
      </w:r>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Parameters to be used for the assessment include but not limited to:</w:t>
      </w:r>
    </w:p>
    <w:p w:rsidR="008E29E3" w:rsidRPr="00EC7926" w:rsidRDefault="008E29E3" w:rsidP="000E7DFC">
      <w:pPr>
        <w:pStyle w:val="ListParagraph"/>
        <w:numPr>
          <w:ilvl w:val="0"/>
          <w:numId w:val="22"/>
        </w:numPr>
        <w:spacing w:before="240"/>
        <w:rPr>
          <w:rFonts w:ascii="Rockwell" w:eastAsia="Times New Roman" w:hAnsi="Rockwell" w:cs="Times New Roman"/>
          <w:sz w:val="24"/>
          <w:szCs w:val="24"/>
        </w:rPr>
      </w:pPr>
      <w:r w:rsidRPr="00EC7926">
        <w:rPr>
          <w:rFonts w:ascii="Rockwell" w:eastAsia="Times New Roman" w:hAnsi="Rockwell" w:cs="Times New Roman"/>
          <w:sz w:val="24"/>
          <w:szCs w:val="24"/>
        </w:rPr>
        <w:t>Risk ranking for the mine type, product and by produce</w:t>
      </w:r>
    </w:p>
    <w:p w:rsidR="008E29E3" w:rsidRPr="00EC7926" w:rsidRDefault="008E29E3" w:rsidP="000E7DFC">
      <w:pPr>
        <w:pStyle w:val="ListParagraph"/>
        <w:numPr>
          <w:ilvl w:val="0"/>
          <w:numId w:val="22"/>
        </w:numPr>
        <w:rPr>
          <w:rFonts w:ascii="Rockwell" w:eastAsia="Times New Roman" w:hAnsi="Rockwell" w:cs="Times New Roman"/>
          <w:sz w:val="24"/>
          <w:szCs w:val="24"/>
        </w:rPr>
      </w:pPr>
      <w:r w:rsidRPr="00EC7926">
        <w:rPr>
          <w:rFonts w:ascii="Rockwell" w:eastAsia="Times New Roman" w:hAnsi="Rockwell" w:cs="Times New Roman"/>
          <w:sz w:val="24"/>
          <w:szCs w:val="24"/>
        </w:rPr>
        <w:t>Environmental sensitivity of the Mining area</w:t>
      </w:r>
    </w:p>
    <w:p w:rsidR="008E29E3" w:rsidRPr="00EC7926" w:rsidRDefault="008E29E3" w:rsidP="000E7DFC">
      <w:pPr>
        <w:pStyle w:val="ListParagraph"/>
        <w:numPr>
          <w:ilvl w:val="0"/>
          <w:numId w:val="22"/>
        </w:numPr>
        <w:rPr>
          <w:rFonts w:ascii="Rockwell" w:eastAsia="Times New Roman" w:hAnsi="Rockwell" w:cs="Times New Roman"/>
          <w:sz w:val="24"/>
          <w:szCs w:val="24"/>
        </w:rPr>
      </w:pPr>
      <w:r w:rsidRPr="00EC7926">
        <w:rPr>
          <w:rFonts w:ascii="Rockwell" w:eastAsia="Times New Roman" w:hAnsi="Rockwell" w:cs="Times New Roman"/>
          <w:sz w:val="24"/>
          <w:szCs w:val="24"/>
        </w:rPr>
        <w:t>Type of mining operation- open cast, underground</w:t>
      </w:r>
    </w:p>
    <w:p w:rsidR="008E29E3" w:rsidRPr="00EC7926" w:rsidRDefault="008E29E3" w:rsidP="000E7DFC">
      <w:pPr>
        <w:pStyle w:val="ListParagraph"/>
        <w:numPr>
          <w:ilvl w:val="0"/>
          <w:numId w:val="22"/>
        </w:numPr>
        <w:rPr>
          <w:rFonts w:ascii="Rockwell" w:eastAsia="Times New Roman" w:hAnsi="Rockwell" w:cs="Times New Roman"/>
          <w:sz w:val="24"/>
          <w:szCs w:val="24"/>
        </w:rPr>
      </w:pPr>
      <w:r w:rsidRPr="00EC7926">
        <w:rPr>
          <w:rFonts w:ascii="Rockwell" w:eastAsia="Times New Roman" w:hAnsi="Rockwell" w:cs="Times New Roman"/>
          <w:sz w:val="24"/>
          <w:szCs w:val="24"/>
        </w:rPr>
        <w:t>Heritage and cultural sensitivity of the area</w:t>
      </w:r>
    </w:p>
    <w:p w:rsidR="008E29E3" w:rsidRPr="00EC7926" w:rsidRDefault="008E29E3" w:rsidP="000E7DFC">
      <w:pPr>
        <w:pStyle w:val="ListParagraph"/>
        <w:numPr>
          <w:ilvl w:val="0"/>
          <w:numId w:val="22"/>
        </w:numPr>
        <w:rPr>
          <w:rFonts w:ascii="Rockwell" w:eastAsia="Times New Roman" w:hAnsi="Rockwell" w:cs="Times New Roman"/>
          <w:sz w:val="24"/>
          <w:szCs w:val="24"/>
        </w:rPr>
      </w:pPr>
      <w:r w:rsidRPr="00EC7926">
        <w:rPr>
          <w:rFonts w:ascii="Rockwell" w:eastAsia="Times New Roman" w:hAnsi="Rockwell" w:cs="Times New Roman"/>
          <w:sz w:val="24"/>
          <w:szCs w:val="24"/>
        </w:rPr>
        <w:t xml:space="preserve">Closure costs - remediation (grasses on denuded areas) , structures decommissioning of machines , sealing of shafts, waste deposits and evaporation ponds, subsided areas </w:t>
      </w:r>
    </w:p>
    <w:p w:rsidR="008E29E3" w:rsidRPr="00EC7926" w:rsidRDefault="008E29E3" w:rsidP="000E7DFC">
      <w:pPr>
        <w:pStyle w:val="ListParagraph"/>
        <w:numPr>
          <w:ilvl w:val="0"/>
          <w:numId w:val="22"/>
        </w:numPr>
        <w:spacing w:after="240"/>
        <w:rPr>
          <w:rFonts w:ascii="Rockwell" w:eastAsia="Times New Roman" w:hAnsi="Rockwell" w:cs="Times New Roman"/>
          <w:sz w:val="24"/>
          <w:szCs w:val="24"/>
        </w:rPr>
      </w:pPr>
      <w:r w:rsidRPr="00EC7926">
        <w:rPr>
          <w:rFonts w:ascii="Rockwell" w:eastAsia="Times New Roman" w:hAnsi="Rockwell" w:cs="Times New Roman"/>
          <w:sz w:val="24"/>
          <w:szCs w:val="24"/>
        </w:rPr>
        <w:t>Overall Size of the mine</w:t>
      </w:r>
    </w:p>
    <w:p w:rsidR="008E29E3" w:rsidRDefault="008E29E3" w:rsidP="000E7DFC">
      <w:pPr>
        <w:spacing w:before="240" w:after="240"/>
        <w:jc w:val="both"/>
        <w:rPr>
          <w:rFonts w:ascii="Rockwell" w:eastAsia="Times New Roman" w:hAnsi="Rockwell" w:cs="Times New Roman"/>
          <w:color w:val="010302"/>
          <w:sz w:val="24"/>
          <w:szCs w:val="24"/>
        </w:rPr>
      </w:pPr>
      <w:r w:rsidRPr="004A76D7">
        <w:rPr>
          <w:rFonts w:ascii="Rockwell" w:eastAsia="Times New Roman" w:hAnsi="Rockwell" w:cs="Times New Roman"/>
          <w:color w:val="010302"/>
          <w:sz w:val="24"/>
          <w:szCs w:val="24"/>
        </w:rPr>
        <w:t xml:space="preserve">Based on the above factors, the environmental deposit bond rate for large scale mining is prescribed as </w:t>
      </w:r>
      <w:proofErr w:type="spellStart"/>
      <w:r w:rsidRPr="004A76D7">
        <w:rPr>
          <w:rFonts w:ascii="Rockwell" w:eastAsia="Times New Roman" w:hAnsi="Rockwell" w:cs="Times New Roman"/>
          <w:color w:val="010302"/>
          <w:sz w:val="24"/>
          <w:szCs w:val="24"/>
        </w:rPr>
        <w:t>Ksh</w:t>
      </w:r>
      <w:proofErr w:type="spellEnd"/>
      <w:r w:rsidRPr="004A76D7">
        <w:rPr>
          <w:rFonts w:ascii="Rockwell" w:eastAsia="Times New Roman" w:hAnsi="Rockwell" w:cs="Times New Roman"/>
          <w:color w:val="010302"/>
          <w:sz w:val="24"/>
          <w:szCs w:val="24"/>
        </w:rPr>
        <w:t xml:space="preserve">. 50,000 per </w:t>
      </w:r>
      <w:proofErr w:type="spellStart"/>
      <w:r w:rsidRPr="004A76D7">
        <w:rPr>
          <w:rFonts w:ascii="Rockwell" w:eastAsia="Times New Roman" w:hAnsi="Rockwell" w:cs="Times New Roman"/>
          <w:color w:val="010302"/>
          <w:sz w:val="24"/>
          <w:szCs w:val="24"/>
        </w:rPr>
        <w:t>sq</w:t>
      </w:r>
      <w:proofErr w:type="spellEnd"/>
      <w:r w:rsidRPr="004A76D7">
        <w:rPr>
          <w:rFonts w:ascii="Rockwell" w:eastAsia="Times New Roman" w:hAnsi="Rockwell" w:cs="Times New Roman"/>
          <w:color w:val="010302"/>
          <w:sz w:val="24"/>
          <w:szCs w:val="24"/>
        </w:rPr>
        <w:t xml:space="preserve"> km </w:t>
      </w:r>
      <w:r w:rsidR="009C0E5B">
        <w:rPr>
          <w:rFonts w:ascii="Rockwell" w:eastAsia="Times New Roman" w:hAnsi="Rockwell" w:cs="Times New Roman"/>
          <w:color w:val="010302"/>
          <w:sz w:val="24"/>
          <w:szCs w:val="24"/>
        </w:rPr>
        <w:t xml:space="preserve">subject to a minimum of </w:t>
      </w:r>
      <w:proofErr w:type="spellStart"/>
      <w:r w:rsidR="009C0E5B">
        <w:rPr>
          <w:rFonts w:ascii="Rockwell" w:eastAsia="Times New Roman" w:hAnsi="Rockwell" w:cs="Times New Roman"/>
          <w:color w:val="010302"/>
          <w:sz w:val="24"/>
          <w:szCs w:val="24"/>
        </w:rPr>
        <w:t>Ksh</w:t>
      </w:r>
      <w:proofErr w:type="spellEnd"/>
      <w:r w:rsidR="009C0E5B">
        <w:rPr>
          <w:rFonts w:ascii="Rockwell" w:eastAsia="Times New Roman" w:hAnsi="Rockwell" w:cs="Times New Roman"/>
          <w:color w:val="010302"/>
          <w:sz w:val="24"/>
          <w:szCs w:val="24"/>
        </w:rPr>
        <w:t>. 2,</w:t>
      </w:r>
      <w:r w:rsidRPr="004A76D7">
        <w:rPr>
          <w:rFonts w:ascii="Rockwell" w:eastAsia="Times New Roman" w:hAnsi="Rockwell" w:cs="Times New Roman"/>
          <w:color w:val="010302"/>
          <w:sz w:val="24"/>
          <w:szCs w:val="24"/>
        </w:rPr>
        <w:t>000, 000 against the mineral right holder Remediation Cost estimates.</w:t>
      </w:r>
    </w:p>
    <w:p w:rsidR="00C66CD0" w:rsidRPr="004A76D7" w:rsidRDefault="00C66CD0" w:rsidP="00C66CD0">
      <w:pPr>
        <w:pStyle w:val="Heading3"/>
        <w:numPr>
          <w:ilvl w:val="0"/>
          <w:numId w:val="38"/>
        </w:numPr>
        <w:jc w:val="both"/>
        <w:rPr>
          <w:rFonts w:ascii="Rockwell" w:eastAsia="Times New Roman" w:hAnsi="Rockwell" w:cs="Times New Roman"/>
          <w:b/>
          <w:color w:val="010302"/>
          <w:sz w:val="24"/>
          <w:szCs w:val="24"/>
        </w:rPr>
      </w:pPr>
      <w:bookmarkStart w:id="61" w:name="_Toc209047148"/>
      <w:r w:rsidRPr="004A76D7">
        <w:rPr>
          <w:rFonts w:ascii="Rockwell" w:eastAsia="Times New Roman" w:hAnsi="Rockwell" w:cs="Times New Roman"/>
          <w:b/>
          <w:color w:val="010302"/>
          <w:sz w:val="24"/>
          <w:szCs w:val="24"/>
        </w:rPr>
        <w:t>Licensee Supplied Rehabilitation Costs</w:t>
      </w:r>
      <w:bookmarkEnd w:id="61"/>
    </w:p>
    <w:p w:rsidR="00B0085D" w:rsidRDefault="00C66CD0" w:rsidP="00C66CD0">
      <w:pPr>
        <w:spacing w:before="240" w:after="240"/>
        <w:jc w:val="both"/>
        <w:rPr>
          <w:rFonts w:ascii="Rockwell" w:eastAsia="Times New Roman" w:hAnsi="Rockwell" w:cs="Times New Roman"/>
          <w:color w:val="010302"/>
          <w:sz w:val="24"/>
          <w:szCs w:val="24"/>
        </w:rPr>
      </w:pPr>
      <w:r w:rsidRPr="004A76D7">
        <w:rPr>
          <w:rFonts w:ascii="Rockwell" w:eastAsia="Times New Roman" w:hAnsi="Rockwell" w:cs="Times New Roman"/>
          <w:color w:val="010302"/>
          <w:sz w:val="24"/>
          <w:szCs w:val="24"/>
        </w:rPr>
        <w:t xml:space="preserve">In this type of computation method of rehabilitation costs, normally the </w:t>
      </w:r>
      <w:proofErr w:type="spellStart"/>
      <w:r w:rsidRPr="004A76D7">
        <w:rPr>
          <w:rFonts w:ascii="Rockwell" w:eastAsia="Times New Roman" w:hAnsi="Rockwell" w:cs="Times New Roman"/>
          <w:color w:val="010302"/>
          <w:sz w:val="24"/>
          <w:szCs w:val="24"/>
        </w:rPr>
        <w:t>Licence</w:t>
      </w:r>
      <w:proofErr w:type="spellEnd"/>
      <w:r w:rsidRPr="004A76D7">
        <w:rPr>
          <w:rFonts w:ascii="Rockwell" w:eastAsia="Times New Roman" w:hAnsi="Rockwell" w:cs="Times New Roman"/>
          <w:color w:val="010302"/>
          <w:sz w:val="24"/>
          <w:szCs w:val="24"/>
        </w:rPr>
        <w:t xml:space="preserve"> Holder or mineral right holder submits detailed rehabilitation costs to the Government for approval. This </w:t>
      </w:r>
      <w:r w:rsidR="00B0085D">
        <w:rPr>
          <w:rFonts w:ascii="Rockwell" w:eastAsia="Times New Roman" w:hAnsi="Rockwell" w:cs="Times New Roman"/>
          <w:color w:val="010302"/>
          <w:sz w:val="24"/>
          <w:szCs w:val="24"/>
        </w:rPr>
        <w:t xml:space="preserve">is the cost that will be determined by the competent experts in the formulation of the Environmental Deposit Bonds Assessment report. </w:t>
      </w:r>
    </w:p>
    <w:p w:rsidR="00AE276F" w:rsidRDefault="008E29E3" w:rsidP="000E7DFC">
      <w:pPr>
        <w:pStyle w:val="Heading1"/>
        <w:jc w:val="both"/>
        <w:rPr>
          <w:rFonts w:ascii="Rockwell" w:eastAsia="Times New Roman" w:hAnsi="Rockwell" w:cs="Times New Roman"/>
          <w:b/>
          <w:sz w:val="24"/>
          <w:szCs w:val="24"/>
        </w:rPr>
      </w:pPr>
      <w:bookmarkStart w:id="62" w:name="_Toc209047152"/>
      <w:r w:rsidRPr="004A76D7">
        <w:rPr>
          <w:rFonts w:ascii="Rockwell" w:eastAsia="Times New Roman" w:hAnsi="Rockwell" w:cs="Times New Roman"/>
          <w:b/>
          <w:sz w:val="24"/>
          <w:szCs w:val="24"/>
        </w:rPr>
        <w:t xml:space="preserve">4.3 </w:t>
      </w:r>
      <w:r w:rsidR="00AE276F">
        <w:rPr>
          <w:rFonts w:ascii="Rockwell" w:eastAsia="Times New Roman" w:hAnsi="Rockwell" w:cs="Times New Roman"/>
          <w:b/>
          <w:sz w:val="24"/>
          <w:szCs w:val="24"/>
        </w:rPr>
        <w:t xml:space="preserve">Rehabilitation Liability estimation calculator </w:t>
      </w:r>
    </w:p>
    <w:p w:rsidR="006D62E4" w:rsidRDefault="006D62E4" w:rsidP="00AE276F">
      <w:pPr>
        <w:jc w:val="both"/>
        <w:rPr>
          <w:rFonts w:ascii="Rockwell" w:eastAsia="Times New Roman" w:hAnsi="Rockwell" w:cs="Times New Roman"/>
          <w:sz w:val="24"/>
          <w:szCs w:val="24"/>
        </w:rPr>
      </w:pPr>
      <w:r>
        <w:rPr>
          <w:rFonts w:ascii="Rockwell" w:eastAsia="Times New Roman" w:hAnsi="Rockwell" w:cs="Times New Roman"/>
          <w:sz w:val="24"/>
          <w:szCs w:val="24"/>
        </w:rPr>
        <w:t>A rehabilitation liability estimation calcul</w:t>
      </w:r>
      <w:r w:rsidR="00A55BD6">
        <w:rPr>
          <w:rFonts w:ascii="Rockwell" w:eastAsia="Times New Roman" w:hAnsi="Rockwell" w:cs="Times New Roman"/>
          <w:sz w:val="24"/>
          <w:szCs w:val="24"/>
        </w:rPr>
        <w:t>ator is a decision support tool</w:t>
      </w:r>
      <w:r>
        <w:rPr>
          <w:rFonts w:ascii="Rockwell" w:eastAsia="Times New Roman" w:hAnsi="Rockwell" w:cs="Times New Roman"/>
          <w:sz w:val="24"/>
          <w:szCs w:val="24"/>
        </w:rPr>
        <w:t xml:space="preserve"> designed to guide mining companies, regulators, and other stakeholders estimate the financial obligations associated with mine closure and site rehabilitation for estimation of the environmental bond payable.</w:t>
      </w:r>
    </w:p>
    <w:p w:rsidR="006D62E4" w:rsidRDefault="006D62E4" w:rsidP="00AE276F">
      <w:pPr>
        <w:jc w:val="both"/>
        <w:rPr>
          <w:rFonts w:ascii="Rockwell" w:eastAsia="Times New Roman" w:hAnsi="Rockwell" w:cs="Times New Roman"/>
          <w:sz w:val="24"/>
          <w:szCs w:val="24"/>
        </w:rPr>
      </w:pPr>
    </w:p>
    <w:p w:rsidR="00AE276F" w:rsidRPr="00AE276F" w:rsidRDefault="00AE276F" w:rsidP="00AE276F">
      <w:pPr>
        <w:jc w:val="both"/>
        <w:rPr>
          <w:rFonts w:ascii="Rockwell" w:eastAsia="Times New Roman" w:hAnsi="Rockwell" w:cs="Times New Roman"/>
          <w:sz w:val="24"/>
          <w:szCs w:val="24"/>
        </w:rPr>
      </w:pPr>
      <w:r w:rsidRPr="00AE276F">
        <w:rPr>
          <w:rFonts w:ascii="Rockwell" w:eastAsia="Times New Roman" w:hAnsi="Rockwell" w:cs="Times New Roman"/>
          <w:sz w:val="24"/>
          <w:szCs w:val="24"/>
        </w:rPr>
        <w:t xml:space="preserve">To strengthen environmental </w:t>
      </w:r>
      <w:r w:rsidR="006D62E4">
        <w:rPr>
          <w:rFonts w:ascii="Rockwell" w:eastAsia="Times New Roman" w:hAnsi="Rockwell" w:cs="Times New Roman"/>
          <w:sz w:val="24"/>
          <w:szCs w:val="24"/>
        </w:rPr>
        <w:t xml:space="preserve">transparency and </w:t>
      </w:r>
      <w:r w:rsidRPr="00AE276F">
        <w:rPr>
          <w:rFonts w:ascii="Rockwell" w:eastAsia="Times New Roman" w:hAnsi="Rockwell" w:cs="Times New Roman"/>
          <w:sz w:val="24"/>
          <w:szCs w:val="24"/>
        </w:rPr>
        <w:t>accountability in Kenya’s mining secto</w:t>
      </w:r>
      <w:r>
        <w:rPr>
          <w:rFonts w:ascii="Rockwell" w:eastAsia="Times New Roman" w:hAnsi="Rockwell" w:cs="Times New Roman"/>
          <w:sz w:val="24"/>
          <w:szCs w:val="24"/>
        </w:rPr>
        <w:t xml:space="preserve">r, a rehabilitation calculator </w:t>
      </w:r>
      <w:r w:rsidRPr="00AE276F">
        <w:rPr>
          <w:rFonts w:ascii="Rockwell" w:eastAsia="Times New Roman" w:hAnsi="Rockwell" w:cs="Times New Roman"/>
          <w:sz w:val="24"/>
          <w:szCs w:val="24"/>
          <w:highlight w:val="yellow"/>
        </w:rPr>
        <w:t xml:space="preserve">has been </w:t>
      </w:r>
      <w:r w:rsidR="006D62E4">
        <w:rPr>
          <w:rFonts w:ascii="Rockwell" w:eastAsia="Times New Roman" w:hAnsi="Rockwell" w:cs="Times New Roman"/>
          <w:sz w:val="24"/>
          <w:szCs w:val="24"/>
          <w:highlight w:val="yellow"/>
        </w:rPr>
        <w:t>adopted / develope</w:t>
      </w:r>
      <w:r w:rsidRPr="00AE276F">
        <w:rPr>
          <w:rFonts w:ascii="Rockwell" w:eastAsia="Times New Roman" w:hAnsi="Rockwell" w:cs="Times New Roman"/>
          <w:sz w:val="24"/>
          <w:szCs w:val="24"/>
          <w:highlight w:val="yellow"/>
        </w:rPr>
        <w:t>d</w:t>
      </w:r>
      <w:r w:rsidR="006D62E4">
        <w:rPr>
          <w:rFonts w:ascii="Rockwell" w:eastAsia="Times New Roman" w:hAnsi="Rockwell" w:cs="Times New Roman"/>
          <w:sz w:val="24"/>
          <w:szCs w:val="24"/>
        </w:rPr>
        <w:t xml:space="preserve">. </w:t>
      </w:r>
      <w:r w:rsidRPr="00AE276F">
        <w:rPr>
          <w:rFonts w:ascii="Rockwell" w:eastAsia="Times New Roman" w:hAnsi="Rockwell" w:cs="Times New Roman"/>
          <w:sz w:val="24"/>
          <w:szCs w:val="24"/>
        </w:rPr>
        <w:t xml:space="preserve"> </w:t>
      </w:r>
    </w:p>
    <w:p w:rsidR="00FA39A1" w:rsidRDefault="00AE276F" w:rsidP="000E7DFC">
      <w:pPr>
        <w:pStyle w:val="Heading1"/>
        <w:jc w:val="both"/>
        <w:rPr>
          <w:rFonts w:ascii="Rockwell" w:eastAsia="Times New Roman" w:hAnsi="Rockwell" w:cs="Times New Roman"/>
          <w:b/>
          <w:sz w:val="24"/>
          <w:szCs w:val="24"/>
        </w:rPr>
      </w:pPr>
      <w:r>
        <w:rPr>
          <w:rFonts w:ascii="Rockwell" w:eastAsia="Times New Roman" w:hAnsi="Rockwell" w:cs="Times New Roman"/>
          <w:b/>
          <w:sz w:val="24"/>
          <w:szCs w:val="24"/>
        </w:rPr>
        <w:t xml:space="preserve">4.4 </w:t>
      </w:r>
      <w:r w:rsidR="008E29E3" w:rsidRPr="004A76D7">
        <w:rPr>
          <w:rFonts w:ascii="Rockwell" w:eastAsia="Times New Roman" w:hAnsi="Rockwell" w:cs="Times New Roman"/>
          <w:b/>
          <w:sz w:val="24"/>
          <w:szCs w:val="24"/>
        </w:rPr>
        <w:t>Addressing uncertainties</w:t>
      </w:r>
      <w:bookmarkEnd w:id="62"/>
    </w:p>
    <w:p w:rsidR="008E29E3" w:rsidRPr="00FA39A1" w:rsidRDefault="00FA39A1" w:rsidP="000E7DFC">
      <w:pPr>
        <w:rPr>
          <w:rFonts w:ascii="Rockwell" w:eastAsia="Times New Roman" w:hAnsi="Rockwell" w:cs="Times New Roman"/>
          <w:sz w:val="24"/>
          <w:szCs w:val="24"/>
        </w:rPr>
      </w:pPr>
      <w:r>
        <w:rPr>
          <w:rFonts w:ascii="Rockwell" w:eastAsia="Times New Roman" w:hAnsi="Rockwell" w:cs="Times New Roman"/>
          <w:sz w:val="24"/>
          <w:szCs w:val="24"/>
        </w:rPr>
        <w:t xml:space="preserve">It is important to recognize uncertainties that may lead to </w:t>
      </w:r>
      <w:r w:rsidRPr="00FA39A1">
        <w:rPr>
          <w:rFonts w:ascii="Rockwell" w:eastAsia="Times New Roman" w:hAnsi="Rockwell" w:cs="Times New Roman"/>
          <w:sz w:val="24"/>
          <w:szCs w:val="24"/>
        </w:rPr>
        <w:t xml:space="preserve">cases of risk underestimation or overestimation </w:t>
      </w:r>
      <w:r>
        <w:rPr>
          <w:rFonts w:ascii="Rockwell" w:eastAsia="Times New Roman" w:hAnsi="Rockwell" w:cs="Times New Roman"/>
          <w:sz w:val="24"/>
          <w:szCs w:val="24"/>
        </w:rPr>
        <w:t xml:space="preserve">while determining or </w:t>
      </w:r>
      <w:r w:rsidR="008E29E3" w:rsidRPr="00FA39A1">
        <w:rPr>
          <w:rFonts w:ascii="Rockwell" w:eastAsia="Times New Roman" w:hAnsi="Rockwell" w:cs="Times New Roman"/>
          <w:sz w:val="24"/>
          <w:szCs w:val="24"/>
        </w:rPr>
        <w:t>calculati</w:t>
      </w:r>
      <w:r>
        <w:rPr>
          <w:rFonts w:ascii="Rockwell" w:eastAsia="Times New Roman" w:hAnsi="Rockwell" w:cs="Times New Roman"/>
          <w:sz w:val="24"/>
          <w:szCs w:val="24"/>
        </w:rPr>
        <w:t xml:space="preserve">ng </w:t>
      </w:r>
      <w:r w:rsidR="008E29E3" w:rsidRPr="00FA39A1">
        <w:rPr>
          <w:rFonts w:ascii="Rockwell" w:eastAsia="Times New Roman" w:hAnsi="Rockwell" w:cs="Times New Roman"/>
          <w:sz w:val="24"/>
          <w:szCs w:val="24"/>
        </w:rPr>
        <w:t>the Deposit Bond payable</w:t>
      </w:r>
      <w:r>
        <w:rPr>
          <w:rFonts w:ascii="Rockwell" w:eastAsia="Times New Roman" w:hAnsi="Rockwell" w:cs="Times New Roman"/>
          <w:sz w:val="24"/>
          <w:szCs w:val="24"/>
        </w:rPr>
        <w:t xml:space="preserve">. </w:t>
      </w:r>
    </w:p>
    <w:p w:rsidR="008E29E3" w:rsidRPr="004A76D7" w:rsidRDefault="008E29E3" w:rsidP="000E7DFC">
      <w:pPr>
        <w:pStyle w:val="Heading2"/>
        <w:jc w:val="both"/>
        <w:rPr>
          <w:rFonts w:ascii="Rockwell" w:eastAsia="Times New Roman" w:hAnsi="Rockwell" w:cs="Times New Roman"/>
          <w:b/>
          <w:color w:val="222222"/>
          <w:sz w:val="24"/>
          <w:szCs w:val="24"/>
        </w:rPr>
      </w:pPr>
      <w:r w:rsidRPr="004A76D7">
        <w:rPr>
          <w:rFonts w:ascii="Rockwell" w:eastAsia="Times New Roman" w:hAnsi="Rockwell" w:cs="Times New Roman"/>
          <w:b/>
          <w:sz w:val="24"/>
          <w:szCs w:val="24"/>
        </w:rPr>
        <w:t xml:space="preserve"> </w:t>
      </w:r>
      <w:bookmarkStart w:id="63" w:name="_Toc209047153"/>
      <w:r w:rsidR="00AE276F">
        <w:rPr>
          <w:rFonts w:ascii="Rockwell" w:eastAsia="Times New Roman" w:hAnsi="Rockwell" w:cs="Times New Roman"/>
          <w:b/>
          <w:sz w:val="24"/>
          <w:szCs w:val="24"/>
        </w:rPr>
        <w:t>4.4</w:t>
      </w:r>
      <w:r w:rsidRPr="004A76D7">
        <w:rPr>
          <w:rFonts w:ascii="Rockwell" w:eastAsia="Times New Roman" w:hAnsi="Rockwell" w:cs="Times New Roman"/>
          <w:b/>
          <w:sz w:val="24"/>
          <w:szCs w:val="24"/>
        </w:rPr>
        <w:t>.1</w:t>
      </w:r>
      <w:r w:rsidRPr="004A76D7">
        <w:rPr>
          <w:rFonts w:ascii="Rockwell" w:eastAsia="Times New Roman" w:hAnsi="Rockwell" w:cs="Times New Roman"/>
          <w:b/>
          <w:color w:val="222222"/>
          <w:sz w:val="24"/>
          <w:szCs w:val="24"/>
        </w:rPr>
        <w:t xml:space="preserve"> Type/nature/extent of activities</w:t>
      </w:r>
      <w:bookmarkEnd w:id="63"/>
    </w:p>
    <w:p w:rsidR="008E29E3" w:rsidRPr="004A76D7" w:rsidRDefault="008E29E3" w:rsidP="000E7DFC">
      <w:pPr>
        <w:shd w:val="clear" w:color="auto" w:fill="FFFFFF"/>
        <w:spacing w:before="240" w:after="160"/>
        <w:jc w:val="both"/>
        <w:rPr>
          <w:rFonts w:ascii="Rockwell" w:eastAsia="Times New Roman" w:hAnsi="Rockwell" w:cs="Times New Roman"/>
          <w:color w:val="222222"/>
          <w:sz w:val="24"/>
          <w:szCs w:val="24"/>
        </w:rPr>
      </w:pPr>
      <w:r w:rsidRPr="004A76D7">
        <w:rPr>
          <w:rFonts w:ascii="Rockwell" w:eastAsia="Times New Roman" w:hAnsi="Rockwell" w:cs="Times New Roman"/>
          <w:color w:val="222222"/>
          <w:sz w:val="24"/>
          <w:szCs w:val="24"/>
        </w:rPr>
        <w:t xml:space="preserve">The nature of the proposed activity, the extent of the activity on the environment and the surrounding area should be defined. Additionally, clearly identified and quantifiable/verifiable extent of the proposed activity including components of </w:t>
      </w:r>
      <w:r w:rsidRPr="004A76D7">
        <w:rPr>
          <w:rFonts w:ascii="Rockwell" w:eastAsia="Times New Roman" w:hAnsi="Rockwell" w:cs="Times New Roman"/>
          <w:color w:val="222222"/>
          <w:sz w:val="24"/>
          <w:szCs w:val="24"/>
        </w:rPr>
        <w:lastRenderedPageBreak/>
        <w:t>waste and chemical management within the operation should be included. It is therefore important to develop a pollution index tool to assist in determining evaluation of the extent of pollution.</w:t>
      </w:r>
    </w:p>
    <w:p w:rsidR="008E29E3" w:rsidRPr="004A76D7" w:rsidRDefault="00AE276F" w:rsidP="000E7DFC">
      <w:pPr>
        <w:pStyle w:val="Heading2"/>
        <w:jc w:val="both"/>
        <w:rPr>
          <w:rFonts w:ascii="Rockwell" w:eastAsia="Times New Roman" w:hAnsi="Rockwell" w:cs="Times New Roman"/>
          <w:b/>
          <w:color w:val="222222"/>
          <w:sz w:val="24"/>
          <w:szCs w:val="24"/>
        </w:rPr>
      </w:pPr>
      <w:bookmarkStart w:id="64" w:name="_Toc209047154"/>
      <w:r>
        <w:rPr>
          <w:rFonts w:ascii="Rockwell" w:eastAsia="Times New Roman" w:hAnsi="Rockwell" w:cs="Times New Roman"/>
          <w:b/>
          <w:color w:val="222222"/>
          <w:sz w:val="24"/>
          <w:szCs w:val="24"/>
        </w:rPr>
        <w:t>4.4</w:t>
      </w:r>
      <w:r w:rsidR="008E29E3" w:rsidRPr="004A76D7">
        <w:rPr>
          <w:rFonts w:ascii="Rockwell" w:eastAsia="Times New Roman" w:hAnsi="Rockwell" w:cs="Times New Roman"/>
          <w:b/>
          <w:color w:val="222222"/>
          <w:sz w:val="24"/>
          <w:szCs w:val="24"/>
        </w:rPr>
        <w:t>.2 Lack of data on contaminated sites/locations</w:t>
      </w:r>
      <w:bookmarkEnd w:id="64"/>
    </w:p>
    <w:p w:rsidR="00F02F6C" w:rsidRDefault="008E29E3" w:rsidP="000E7DFC">
      <w:pPr>
        <w:shd w:val="clear" w:color="auto" w:fill="FFFFFF"/>
        <w:spacing w:before="240" w:after="160"/>
        <w:jc w:val="both"/>
        <w:rPr>
          <w:rFonts w:ascii="Rockwell" w:eastAsia="Times New Roman" w:hAnsi="Rockwell" w:cs="Times New Roman"/>
          <w:color w:val="222222"/>
          <w:sz w:val="24"/>
          <w:szCs w:val="24"/>
        </w:rPr>
      </w:pPr>
      <w:r w:rsidRPr="004A76D7">
        <w:rPr>
          <w:rFonts w:ascii="Rockwell" w:eastAsia="Times New Roman" w:hAnsi="Rockwell" w:cs="Times New Roman"/>
          <w:color w:val="222222"/>
          <w:sz w:val="24"/>
          <w:szCs w:val="24"/>
        </w:rPr>
        <w:t>Lack of Knowledge regarding historical environmental releases that have occurred over time might lead to underestimation of risk</w:t>
      </w:r>
      <w:r w:rsidR="00F02F6C">
        <w:rPr>
          <w:rFonts w:ascii="Rockwell" w:eastAsia="Times New Roman" w:hAnsi="Rockwell" w:cs="Times New Roman"/>
          <w:color w:val="222222"/>
          <w:sz w:val="24"/>
          <w:szCs w:val="24"/>
        </w:rPr>
        <w:t xml:space="preserve">s. It is necessary to develop and maintain a </w:t>
      </w:r>
      <w:r w:rsidRPr="004A76D7">
        <w:rPr>
          <w:rFonts w:ascii="Rockwell" w:eastAsia="Times New Roman" w:hAnsi="Rockwell" w:cs="Times New Roman"/>
          <w:color w:val="222222"/>
          <w:sz w:val="24"/>
          <w:szCs w:val="24"/>
        </w:rPr>
        <w:t>database for or index of sites to inform the proposed developments.</w:t>
      </w:r>
    </w:p>
    <w:p w:rsidR="008E29E3" w:rsidRPr="004A76D7" w:rsidRDefault="00AE276F" w:rsidP="000E7DFC">
      <w:pPr>
        <w:pStyle w:val="Heading2"/>
        <w:jc w:val="both"/>
        <w:rPr>
          <w:rFonts w:ascii="Rockwell" w:eastAsia="Times New Roman" w:hAnsi="Rockwell" w:cs="Times New Roman"/>
          <w:b/>
          <w:color w:val="222222"/>
          <w:sz w:val="24"/>
          <w:szCs w:val="24"/>
        </w:rPr>
      </w:pPr>
      <w:bookmarkStart w:id="65" w:name="_Toc209047155"/>
      <w:r>
        <w:rPr>
          <w:rFonts w:ascii="Rockwell" w:eastAsia="Times New Roman" w:hAnsi="Rockwell" w:cs="Times New Roman"/>
          <w:b/>
          <w:color w:val="222222"/>
          <w:sz w:val="24"/>
          <w:szCs w:val="24"/>
        </w:rPr>
        <w:t>4.4</w:t>
      </w:r>
      <w:r w:rsidR="008E29E3" w:rsidRPr="004A76D7">
        <w:rPr>
          <w:rFonts w:ascii="Rockwell" w:eastAsia="Times New Roman" w:hAnsi="Rockwell" w:cs="Times New Roman"/>
          <w:b/>
          <w:color w:val="222222"/>
          <w:sz w:val="24"/>
          <w:szCs w:val="24"/>
        </w:rPr>
        <w:t>.3 Abandonment by mineral right holder/owners</w:t>
      </w:r>
      <w:bookmarkEnd w:id="65"/>
    </w:p>
    <w:p w:rsidR="008E29E3" w:rsidRPr="004A76D7" w:rsidRDefault="008E29E3" w:rsidP="000E7DFC">
      <w:pPr>
        <w:shd w:val="clear" w:color="auto" w:fill="FFFFFF"/>
        <w:spacing w:before="240" w:after="160"/>
        <w:jc w:val="both"/>
        <w:rPr>
          <w:rFonts w:ascii="Rockwell" w:eastAsia="Times New Roman" w:hAnsi="Rockwell" w:cs="Times New Roman"/>
          <w:color w:val="222222"/>
          <w:sz w:val="24"/>
          <w:szCs w:val="24"/>
        </w:rPr>
      </w:pPr>
      <w:r w:rsidRPr="004A76D7">
        <w:rPr>
          <w:rFonts w:ascii="Rockwell" w:eastAsia="Times New Roman" w:hAnsi="Rockwell" w:cs="Times New Roman"/>
          <w:color w:val="222222"/>
          <w:sz w:val="24"/>
          <w:szCs w:val="24"/>
        </w:rPr>
        <w:t>Bankruptcy by project mineral right holders may lead to abandonment of sites due to abrupt winding up of such companies. This may result in lack of capital to remediate the said sites to acceptable legal standards. This reality ought to be taken care of at the determination stage of the bond assessment.</w:t>
      </w:r>
    </w:p>
    <w:p w:rsidR="008E29E3" w:rsidRPr="004A76D7" w:rsidRDefault="00AE276F" w:rsidP="000E7DFC">
      <w:pPr>
        <w:pStyle w:val="Heading2"/>
        <w:jc w:val="both"/>
        <w:rPr>
          <w:rFonts w:ascii="Rockwell" w:eastAsia="Times New Roman" w:hAnsi="Rockwell" w:cs="Times New Roman"/>
          <w:b/>
          <w:color w:val="222222"/>
          <w:sz w:val="24"/>
          <w:szCs w:val="24"/>
        </w:rPr>
      </w:pPr>
      <w:bookmarkStart w:id="66" w:name="_Toc209047156"/>
      <w:r>
        <w:rPr>
          <w:rFonts w:ascii="Rockwell" w:eastAsia="Times New Roman" w:hAnsi="Rockwell" w:cs="Times New Roman"/>
          <w:b/>
          <w:color w:val="222222"/>
          <w:sz w:val="24"/>
          <w:szCs w:val="24"/>
        </w:rPr>
        <w:t>4.4</w:t>
      </w:r>
      <w:r w:rsidR="008E29E3" w:rsidRPr="004A76D7">
        <w:rPr>
          <w:rFonts w:ascii="Rockwell" w:eastAsia="Times New Roman" w:hAnsi="Rockwell" w:cs="Times New Roman"/>
          <w:b/>
          <w:color w:val="222222"/>
          <w:sz w:val="24"/>
          <w:szCs w:val="24"/>
        </w:rPr>
        <w:t>.4 Public perception/Stakeholder perception</w:t>
      </w:r>
      <w:bookmarkEnd w:id="66"/>
    </w:p>
    <w:p w:rsidR="008E29E3" w:rsidRPr="004A76D7" w:rsidRDefault="008E29E3" w:rsidP="000E7DFC">
      <w:pPr>
        <w:shd w:val="clear" w:color="auto" w:fill="FFFFFF"/>
        <w:spacing w:before="240" w:after="160"/>
        <w:jc w:val="both"/>
        <w:rPr>
          <w:rFonts w:ascii="Rockwell" w:eastAsia="Times New Roman" w:hAnsi="Rockwell" w:cs="Times New Roman"/>
          <w:color w:val="222222"/>
          <w:sz w:val="24"/>
          <w:szCs w:val="24"/>
        </w:rPr>
      </w:pPr>
      <w:r w:rsidRPr="004A76D7">
        <w:rPr>
          <w:rFonts w:ascii="Rockwell" w:eastAsia="Times New Roman" w:hAnsi="Rockwell" w:cs="Times New Roman"/>
          <w:color w:val="222222"/>
          <w:sz w:val="24"/>
          <w:szCs w:val="24"/>
        </w:rPr>
        <w:t>The negative perception by the public on remediation activities may pose an overestimation of risks. It is therefore important to create public awareness and undertake meaningful stakeholders’ engagement in the decision making processes involving the award of authorizations for the proposed activity, monitoring of facility operations, remediation standards and the remediation timelines.</w:t>
      </w:r>
    </w:p>
    <w:p w:rsidR="008E29E3" w:rsidRDefault="008E29E3" w:rsidP="000E7DFC">
      <w:pPr>
        <w:spacing w:before="240" w:after="160"/>
        <w:jc w:val="both"/>
        <w:rPr>
          <w:rFonts w:ascii="Rockwell" w:eastAsia="Times New Roman" w:hAnsi="Rockwell" w:cs="Times New Roman"/>
          <w:b/>
          <w:sz w:val="24"/>
          <w:szCs w:val="24"/>
        </w:rPr>
      </w:pPr>
    </w:p>
    <w:p w:rsidR="00F02F6C" w:rsidRPr="004A76D7" w:rsidRDefault="00F02F6C" w:rsidP="000E7DFC">
      <w:pPr>
        <w:spacing w:before="240" w:after="160"/>
        <w:jc w:val="both"/>
        <w:rPr>
          <w:rFonts w:ascii="Rockwell" w:eastAsia="Times New Roman" w:hAnsi="Rockwell" w:cs="Times New Roman"/>
          <w:b/>
          <w:sz w:val="24"/>
          <w:szCs w:val="24"/>
        </w:rPr>
      </w:pPr>
    </w:p>
    <w:p w:rsidR="008E29E3" w:rsidRPr="004A76D7" w:rsidRDefault="008E29E3" w:rsidP="000E7DFC">
      <w:pPr>
        <w:pStyle w:val="Heading1"/>
        <w:jc w:val="both"/>
        <w:rPr>
          <w:rFonts w:ascii="Rockwell" w:eastAsia="Times New Roman" w:hAnsi="Rockwell" w:cs="Times New Roman"/>
          <w:b/>
          <w:sz w:val="24"/>
          <w:szCs w:val="24"/>
        </w:rPr>
      </w:pPr>
      <w:bookmarkStart w:id="67" w:name="_Toc209047157"/>
      <w:r w:rsidRPr="004A76D7">
        <w:rPr>
          <w:rFonts w:ascii="Rockwell" w:eastAsia="Times New Roman" w:hAnsi="Rockwell" w:cs="Times New Roman"/>
          <w:b/>
          <w:sz w:val="24"/>
          <w:szCs w:val="24"/>
        </w:rPr>
        <w:t>5. References</w:t>
      </w:r>
      <w:bookmarkEnd w:id="67"/>
    </w:p>
    <w:p w:rsidR="008E29E3" w:rsidRPr="004A76D7" w:rsidRDefault="008E29E3"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Environmental Management an</w:t>
      </w:r>
      <w:r w:rsidR="00E54829">
        <w:rPr>
          <w:rFonts w:ascii="Rockwell" w:eastAsia="Times New Roman" w:hAnsi="Rockwell" w:cs="Times New Roman"/>
          <w:sz w:val="24"/>
          <w:szCs w:val="24"/>
        </w:rPr>
        <w:t>d Co-ordination Act (EMCA), CAP 387</w:t>
      </w:r>
    </w:p>
    <w:p w:rsidR="008E29E3" w:rsidRPr="004A76D7" w:rsidRDefault="00E54829" w:rsidP="000E7DFC">
      <w:pPr>
        <w:spacing w:before="240" w:after="160"/>
        <w:jc w:val="both"/>
        <w:rPr>
          <w:rFonts w:ascii="Rockwell" w:eastAsia="Times New Roman" w:hAnsi="Rockwell" w:cs="Times New Roman"/>
          <w:sz w:val="24"/>
          <w:szCs w:val="24"/>
        </w:rPr>
      </w:pPr>
      <w:r>
        <w:rPr>
          <w:rFonts w:ascii="Rockwell" w:eastAsia="Times New Roman" w:hAnsi="Rockwell" w:cs="Times New Roman"/>
          <w:sz w:val="24"/>
          <w:szCs w:val="24"/>
        </w:rPr>
        <w:t>The Mining Act, CAP 306</w:t>
      </w:r>
    </w:p>
    <w:p w:rsidR="008E29E3" w:rsidRPr="004A76D7" w:rsidRDefault="008E29E3"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The Environmental Management and Coordination (</w:t>
      </w:r>
      <w:r w:rsidR="00E54829">
        <w:rPr>
          <w:rFonts w:ascii="Rockwell" w:eastAsia="Times New Roman" w:hAnsi="Rockwell" w:cs="Times New Roman"/>
          <w:sz w:val="24"/>
          <w:szCs w:val="24"/>
        </w:rPr>
        <w:t>Deposit Bonds) Regulations, 2025</w:t>
      </w:r>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Environmental Management and Coordination (Wa</w:t>
      </w:r>
      <w:r w:rsidR="00E54829">
        <w:rPr>
          <w:rFonts w:ascii="Rockwell" w:eastAsia="Times New Roman" w:hAnsi="Rockwell" w:cs="Times New Roman"/>
          <w:sz w:val="24"/>
          <w:szCs w:val="24"/>
        </w:rPr>
        <w:t>ste Management) Regulations 2024</w:t>
      </w:r>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Environmental (Impact Assessment and Audit) Regulations, 2003</w:t>
      </w:r>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Environmental Regulation for Mining Activities in Zambia: Charles </w:t>
      </w:r>
      <w:proofErr w:type="spellStart"/>
      <w:r w:rsidRPr="004A76D7">
        <w:rPr>
          <w:rFonts w:ascii="Rockwell" w:eastAsia="Times New Roman" w:hAnsi="Rockwell" w:cs="Times New Roman"/>
          <w:sz w:val="24"/>
          <w:szCs w:val="24"/>
        </w:rPr>
        <w:t>Mkokweza</w:t>
      </w:r>
      <w:proofErr w:type="spellEnd"/>
      <w:r w:rsidRPr="004A76D7">
        <w:rPr>
          <w:rFonts w:ascii="Rockwell" w:eastAsia="Times New Roman" w:hAnsi="Rockwell" w:cs="Times New Roman"/>
          <w:sz w:val="24"/>
          <w:szCs w:val="24"/>
        </w:rPr>
        <w:t>,</w:t>
      </w:r>
    </w:p>
    <w:p w:rsidR="008E29E3" w:rsidRPr="004A76D7" w:rsidRDefault="008E29E3" w:rsidP="000E7DFC">
      <w:pPr>
        <w:spacing w:before="240" w:after="240"/>
        <w:jc w:val="both"/>
        <w:rPr>
          <w:rFonts w:ascii="Rockwell" w:eastAsia="Times New Roman" w:hAnsi="Rockwell" w:cs="Times New Roman"/>
          <w:sz w:val="24"/>
          <w:szCs w:val="24"/>
        </w:rPr>
      </w:pPr>
      <w:proofErr w:type="spellStart"/>
      <w:r w:rsidRPr="004A76D7">
        <w:rPr>
          <w:rFonts w:ascii="Rockwell" w:eastAsia="Times New Roman" w:hAnsi="Rockwell" w:cs="Times New Roman"/>
          <w:sz w:val="24"/>
          <w:szCs w:val="24"/>
        </w:rPr>
        <w:t>Mutinda</w:t>
      </w:r>
      <w:proofErr w:type="spellEnd"/>
      <w:r w:rsidRPr="004A76D7">
        <w:rPr>
          <w:rFonts w:ascii="Rockwell" w:eastAsia="Times New Roman" w:hAnsi="Rockwell" w:cs="Times New Roman"/>
          <w:sz w:val="24"/>
          <w:szCs w:val="24"/>
        </w:rPr>
        <w:t xml:space="preserve"> </w:t>
      </w:r>
      <w:proofErr w:type="spellStart"/>
      <w:r w:rsidRPr="004A76D7">
        <w:rPr>
          <w:rFonts w:ascii="Rockwell" w:eastAsia="Times New Roman" w:hAnsi="Rockwell" w:cs="Times New Roman"/>
          <w:sz w:val="24"/>
          <w:szCs w:val="24"/>
        </w:rPr>
        <w:t>Annel</w:t>
      </w:r>
      <w:proofErr w:type="spellEnd"/>
      <w:r w:rsidRPr="004A76D7">
        <w:rPr>
          <w:rFonts w:ascii="Rockwell" w:eastAsia="Times New Roman" w:hAnsi="Rockwell" w:cs="Times New Roman"/>
          <w:sz w:val="24"/>
          <w:szCs w:val="24"/>
        </w:rPr>
        <w:t xml:space="preserve"> Zulu, </w:t>
      </w:r>
      <w:proofErr w:type="spellStart"/>
      <w:r w:rsidRPr="004A76D7">
        <w:rPr>
          <w:rFonts w:ascii="Rockwell" w:eastAsia="Times New Roman" w:hAnsi="Rockwell" w:cs="Times New Roman"/>
          <w:sz w:val="24"/>
          <w:szCs w:val="24"/>
        </w:rPr>
        <w:t>Namakuzu</w:t>
      </w:r>
      <w:proofErr w:type="spellEnd"/>
      <w:r w:rsidRPr="004A76D7">
        <w:rPr>
          <w:rFonts w:ascii="Rockwell" w:eastAsia="Times New Roman" w:hAnsi="Rockwell" w:cs="Times New Roman"/>
          <w:sz w:val="24"/>
          <w:szCs w:val="24"/>
        </w:rPr>
        <w:t xml:space="preserve"> </w:t>
      </w:r>
      <w:proofErr w:type="spellStart"/>
      <w:r w:rsidRPr="004A76D7">
        <w:rPr>
          <w:rFonts w:ascii="Rockwell" w:eastAsia="Times New Roman" w:hAnsi="Rockwell" w:cs="Times New Roman"/>
          <w:sz w:val="24"/>
          <w:szCs w:val="24"/>
        </w:rPr>
        <w:t>Shandavu</w:t>
      </w:r>
      <w:proofErr w:type="spellEnd"/>
      <w:r w:rsidRPr="004A76D7">
        <w:rPr>
          <w:rFonts w:ascii="Rockwell" w:eastAsia="Times New Roman" w:hAnsi="Rockwell" w:cs="Times New Roman"/>
          <w:sz w:val="24"/>
          <w:szCs w:val="24"/>
        </w:rPr>
        <w:t>, Corpus Legal Practitioners, July 18, 2018</w:t>
      </w:r>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lastRenderedPageBreak/>
        <w:t>Explosive Act (Cap 115)</w:t>
      </w:r>
    </w:p>
    <w:p w:rsidR="008E29E3" w:rsidRPr="004A76D7" w:rsidRDefault="008E29E3" w:rsidP="000E7DFC">
      <w:pPr>
        <w:spacing w:before="240"/>
        <w:ind w:right="800"/>
        <w:jc w:val="both"/>
        <w:rPr>
          <w:rFonts w:ascii="Rockwell" w:eastAsia="Times New Roman" w:hAnsi="Rockwell" w:cs="Times New Roman"/>
          <w:sz w:val="24"/>
          <w:szCs w:val="24"/>
        </w:rPr>
      </w:pPr>
      <w:r w:rsidRPr="004A76D7">
        <w:rPr>
          <w:rFonts w:ascii="Rockwell" w:eastAsia="Times New Roman" w:hAnsi="Rockwell" w:cs="Times New Roman"/>
          <w:sz w:val="24"/>
          <w:szCs w:val="24"/>
        </w:rPr>
        <w:t>Comparing Environmental Financial Guarantee Schemes in K</w:t>
      </w:r>
      <w:r w:rsidR="00E54829">
        <w:rPr>
          <w:rFonts w:ascii="Rockwell" w:eastAsia="Times New Roman" w:hAnsi="Rockwell" w:cs="Times New Roman"/>
          <w:sz w:val="24"/>
          <w:szCs w:val="24"/>
        </w:rPr>
        <w:t>enya and South Africa: Geoffrey</w:t>
      </w:r>
      <w:r w:rsidRPr="004A76D7">
        <w:rPr>
          <w:rFonts w:ascii="Rockwell" w:eastAsia="Times New Roman" w:hAnsi="Rockwell" w:cs="Times New Roman"/>
          <w:sz w:val="24"/>
          <w:szCs w:val="24"/>
        </w:rPr>
        <w:t xml:space="preserve">, </w:t>
      </w:r>
      <w:proofErr w:type="spellStart"/>
      <w:r w:rsidRPr="004A76D7">
        <w:rPr>
          <w:rFonts w:ascii="Rockwell" w:eastAsia="Times New Roman" w:hAnsi="Rockwell" w:cs="Times New Roman"/>
          <w:sz w:val="24"/>
          <w:szCs w:val="24"/>
        </w:rPr>
        <w:t>Kariuki</w:t>
      </w:r>
      <w:proofErr w:type="spellEnd"/>
      <w:r w:rsidRPr="004A76D7">
        <w:rPr>
          <w:rFonts w:ascii="Rockwell" w:eastAsia="Times New Roman" w:hAnsi="Rockwell" w:cs="Times New Roman"/>
          <w:sz w:val="24"/>
          <w:szCs w:val="24"/>
        </w:rPr>
        <w:t xml:space="preserve"> </w:t>
      </w:r>
      <w:proofErr w:type="spellStart"/>
      <w:r w:rsidRPr="004A76D7">
        <w:rPr>
          <w:rFonts w:ascii="Rockwell" w:eastAsia="Times New Roman" w:hAnsi="Rockwell" w:cs="Times New Roman"/>
          <w:sz w:val="24"/>
          <w:szCs w:val="24"/>
        </w:rPr>
        <w:t>Muigua</w:t>
      </w:r>
      <w:proofErr w:type="spellEnd"/>
      <w:r w:rsidRPr="004A76D7">
        <w:rPr>
          <w:rFonts w:ascii="Rockwell" w:eastAsia="Times New Roman" w:hAnsi="Rockwell" w:cs="Times New Roman"/>
          <w:sz w:val="24"/>
          <w:szCs w:val="24"/>
        </w:rPr>
        <w:t xml:space="preserve">, Richard </w:t>
      </w:r>
      <w:proofErr w:type="spellStart"/>
      <w:r w:rsidRPr="004A76D7">
        <w:rPr>
          <w:rFonts w:ascii="Rockwell" w:eastAsia="Times New Roman" w:hAnsi="Rockwell" w:cs="Times New Roman"/>
          <w:sz w:val="24"/>
          <w:szCs w:val="24"/>
        </w:rPr>
        <w:t>Mulwa</w:t>
      </w:r>
      <w:proofErr w:type="spellEnd"/>
      <w:r w:rsidRPr="004A76D7">
        <w:rPr>
          <w:rFonts w:ascii="Rockwell" w:eastAsia="Times New Roman" w:hAnsi="Rockwell" w:cs="Times New Roman"/>
          <w:sz w:val="24"/>
          <w:szCs w:val="24"/>
          <w:vertAlign w:val="superscript"/>
        </w:rPr>
        <w:t xml:space="preserve"> </w:t>
      </w:r>
      <w:r w:rsidRPr="004A76D7">
        <w:rPr>
          <w:rFonts w:ascii="Rockwell" w:eastAsia="Times New Roman" w:hAnsi="Rockwell" w:cs="Times New Roman"/>
          <w:sz w:val="24"/>
          <w:szCs w:val="24"/>
        </w:rPr>
        <w:t xml:space="preserve">&amp; Robert </w:t>
      </w:r>
      <w:proofErr w:type="spellStart"/>
      <w:r w:rsidRPr="004A76D7">
        <w:rPr>
          <w:rFonts w:ascii="Rockwell" w:eastAsia="Times New Roman" w:hAnsi="Rockwell" w:cs="Times New Roman"/>
          <w:sz w:val="24"/>
          <w:szCs w:val="24"/>
        </w:rPr>
        <w:t>Kibugi</w:t>
      </w:r>
      <w:proofErr w:type="spellEnd"/>
      <w:r w:rsidRPr="004A76D7">
        <w:rPr>
          <w:rFonts w:ascii="Rockwell" w:eastAsia="Times New Roman" w:hAnsi="Rockwell" w:cs="Times New Roman"/>
          <w:sz w:val="24"/>
          <w:szCs w:val="24"/>
        </w:rPr>
        <w:t xml:space="preserve">, Centre for Advanced Studies in Environmental Law and Policy, University of Nairobi, Nairobi, Kenya Correspondence: Geoffrey </w:t>
      </w:r>
      <w:proofErr w:type="spellStart"/>
      <w:r w:rsidRPr="004A76D7">
        <w:rPr>
          <w:rFonts w:ascii="Rockwell" w:eastAsia="Times New Roman" w:hAnsi="Rockwell" w:cs="Times New Roman"/>
          <w:sz w:val="24"/>
          <w:szCs w:val="24"/>
        </w:rPr>
        <w:t>Omedo</w:t>
      </w:r>
      <w:proofErr w:type="spellEnd"/>
      <w:r w:rsidRPr="004A76D7">
        <w:rPr>
          <w:rFonts w:ascii="Rockwell" w:eastAsia="Times New Roman" w:hAnsi="Rockwell" w:cs="Times New Roman"/>
          <w:sz w:val="24"/>
          <w:szCs w:val="24"/>
        </w:rPr>
        <w:t xml:space="preserve">, United Nations Development </w:t>
      </w:r>
      <w:proofErr w:type="spellStart"/>
      <w:r w:rsidRPr="004A76D7">
        <w:rPr>
          <w:rFonts w:ascii="Rockwell" w:eastAsia="Times New Roman" w:hAnsi="Rockwell" w:cs="Times New Roman"/>
          <w:sz w:val="24"/>
          <w:szCs w:val="24"/>
        </w:rPr>
        <w:t>Programme</w:t>
      </w:r>
      <w:proofErr w:type="spellEnd"/>
      <w:r w:rsidRPr="004A76D7">
        <w:rPr>
          <w:rFonts w:ascii="Rockwell" w:eastAsia="Times New Roman" w:hAnsi="Rockwell" w:cs="Times New Roman"/>
          <w:sz w:val="24"/>
          <w:szCs w:val="24"/>
        </w:rPr>
        <w:t xml:space="preserve"> Kenya, P.O. Box 45804 – 00100</w:t>
      </w:r>
      <w:proofErr w:type="gramStart"/>
      <w:r w:rsidRPr="004A76D7">
        <w:rPr>
          <w:rFonts w:ascii="Rockwell" w:eastAsia="Times New Roman" w:hAnsi="Rockwell" w:cs="Times New Roman"/>
          <w:sz w:val="24"/>
          <w:szCs w:val="24"/>
        </w:rPr>
        <w:t>,  Nairobi</w:t>
      </w:r>
      <w:proofErr w:type="gramEnd"/>
      <w:r w:rsidRPr="004A76D7">
        <w:rPr>
          <w:rFonts w:ascii="Rockwell" w:eastAsia="Times New Roman" w:hAnsi="Rockwell" w:cs="Times New Roman"/>
          <w:sz w:val="24"/>
          <w:szCs w:val="24"/>
        </w:rPr>
        <w:t xml:space="preserve">, Kenya. E-mail: Geoffrey.omedo@undp.org; geoffrey.omedo@gmail.com Online Published: January 21, </w:t>
      </w:r>
      <w:proofErr w:type="gramStart"/>
      <w:r w:rsidRPr="004A76D7">
        <w:rPr>
          <w:rFonts w:ascii="Rockwell" w:eastAsia="Times New Roman" w:hAnsi="Rockwell" w:cs="Times New Roman"/>
          <w:sz w:val="24"/>
          <w:szCs w:val="24"/>
        </w:rPr>
        <w:t>2022  doi:10.5539</w:t>
      </w:r>
      <w:proofErr w:type="gramEnd"/>
      <w:r w:rsidRPr="004A76D7">
        <w:rPr>
          <w:rFonts w:ascii="Rockwell" w:eastAsia="Times New Roman" w:hAnsi="Rockwell" w:cs="Times New Roman"/>
          <w:sz w:val="24"/>
          <w:szCs w:val="24"/>
        </w:rPr>
        <w:t>/jsd.v15n2p1  URL:</w:t>
      </w:r>
      <w:hyperlink r:id="rId18">
        <w:r w:rsidRPr="004A76D7">
          <w:rPr>
            <w:rFonts w:ascii="Rockwell" w:eastAsia="Times New Roman" w:hAnsi="Rockwell" w:cs="Times New Roman"/>
            <w:color w:val="1155CC"/>
            <w:sz w:val="24"/>
            <w:szCs w:val="24"/>
          </w:rPr>
          <w:t xml:space="preserve"> https://doi.org/10.5539/jsd.v15n2p1</w:t>
        </w:r>
      </w:hyperlink>
      <w:r w:rsidRPr="004A76D7">
        <w:rPr>
          <w:rFonts w:ascii="Rockwell" w:eastAsia="Times New Roman" w:hAnsi="Rockwell" w:cs="Times New Roman"/>
          <w:sz w:val="24"/>
          <w:szCs w:val="24"/>
        </w:rPr>
        <w:t xml:space="preserve"> </w:t>
      </w:r>
    </w:p>
    <w:p w:rsidR="008E29E3" w:rsidRPr="004A76D7" w:rsidRDefault="008E29E3" w:rsidP="000E7DFC">
      <w:pPr>
        <w:spacing w:before="240"/>
        <w:ind w:right="80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Victoria Mining Rehabilitation Fund Guidelines (Rehabilitation Bonds-Minerals, Exploration, mines &amp; Quarries) Australia     </w:t>
      </w:r>
      <w:r w:rsidRPr="004A76D7">
        <w:rPr>
          <w:rFonts w:ascii="Rockwell" w:eastAsia="Times New Roman" w:hAnsi="Rockwell" w:cs="Times New Roman"/>
          <w:sz w:val="24"/>
          <w:szCs w:val="24"/>
        </w:rPr>
        <w:tab/>
        <w:t xml:space="preserve"> </w:t>
      </w:r>
    </w:p>
    <w:p w:rsidR="008E29E3" w:rsidRPr="004A76D7" w:rsidRDefault="008E29E3" w:rsidP="000E7DFC">
      <w:pPr>
        <w:spacing w:before="240" w:after="240"/>
        <w:jc w:val="both"/>
        <w:rPr>
          <w:rFonts w:ascii="Rockwell" w:eastAsia="Times New Roman" w:hAnsi="Rockwell" w:cs="Times New Roman"/>
          <w:color w:val="0000FF"/>
          <w:sz w:val="24"/>
          <w:szCs w:val="24"/>
          <w:u w:val="single"/>
        </w:rPr>
      </w:pPr>
      <w:r w:rsidRPr="004A76D7">
        <w:rPr>
          <w:rFonts w:ascii="Rockwell" w:eastAsia="Times New Roman" w:hAnsi="Rockwell" w:cs="Times New Roman"/>
          <w:color w:val="333333"/>
          <w:sz w:val="24"/>
          <w:szCs w:val="24"/>
        </w:rPr>
        <w:t xml:space="preserve"> Government of the Republic of Kenya (</w:t>
      </w:r>
      <w:proofErr w:type="spellStart"/>
      <w:r w:rsidRPr="004A76D7">
        <w:rPr>
          <w:rFonts w:ascii="Rockwell" w:eastAsia="Times New Roman" w:hAnsi="Rockwell" w:cs="Times New Roman"/>
          <w:color w:val="333333"/>
          <w:sz w:val="24"/>
          <w:szCs w:val="24"/>
        </w:rPr>
        <w:t>GoK</w:t>
      </w:r>
      <w:proofErr w:type="spellEnd"/>
      <w:r w:rsidRPr="004A76D7">
        <w:rPr>
          <w:rFonts w:ascii="Rockwell" w:eastAsia="Times New Roman" w:hAnsi="Rockwell" w:cs="Times New Roman"/>
          <w:color w:val="333333"/>
          <w:sz w:val="24"/>
          <w:szCs w:val="24"/>
        </w:rPr>
        <w:t>). (201</w:t>
      </w:r>
      <w:r w:rsidRPr="004A76D7">
        <w:rPr>
          <w:rFonts w:ascii="Rockwell" w:eastAsia="Times New Roman" w:hAnsi="Rockwell" w:cs="Times New Roman"/>
          <w:sz w:val="24"/>
          <w:szCs w:val="24"/>
        </w:rPr>
        <w:t xml:space="preserve">6). mining and mineral policy; </w:t>
      </w:r>
      <w:proofErr w:type="gramStart"/>
      <w:r w:rsidRPr="004A76D7">
        <w:rPr>
          <w:rFonts w:ascii="Rockwell" w:eastAsia="Times New Roman" w:hAnsi="Rockwell" w:cs="Times New Roman"/>
          <w:sz w:val="24"/>
          <w:szCs w:val="24"/>
        </w:rPr>
        <w:t>The</w:t>
      </w:r>
      <w:proofErr w:type="gramEnd"/>
      <w:r w:rsidRPr="004A76D7">
        <w:rPr>
          <w:rFonts w:ascii="Rockwell" w:eastAsia="Times New Roman" w:hAnsi="Rockwell" w:cs="Times New Roman"/>
          <w:sz w:val="24"/>
          <w:szCs w:val="24"/>
        </w:rPr>
        <w:t xml:space="preserve"> popular version. Ministry of Mining, Kenya. Available at</w:t>
      </w:r>
      <w:hyperlink r:id="rId19">
        <w:r w:rsidRPr="004A76D7">
          <w:rPr>
            <w:rFonts w:ascii="Rockwell" w:eastAsia="Times New Roman" w:hAnsi="Rockwell" w:cs="Times New Roman"/>
            <w:sz w:val="24"/>
            <w:szCs w:val="24"/>
          </w:rPr>
          <w:t xml:space="preserve"> </w:t>
        </w:r>
      </w:hyperlink>
      <w:hyperlink r:id="rId20">
        <w:r w:rsidRPr="004A76D7">
          <w:rPr>
            <w:rFonts w:ascii="Rockwell" w:eastAsia="Times New Roman" w:hAnsi="Rockwell" w:cs="Times New Roman"/>
            <w:color w:val="0000FF"/>
            <w:sz w:val="24"/>
            <w:szCs w:val="24"/>
            <w:u w:val="single"/>
          </w:rPr>
          <w:t>https://www.idlo.int/sites/default/files/pdfs/highlights/Kenya%20Mining%20Policy%20Popular%20Version-LowRes.pdf</w:t>
        </w:r>
      </w:hyperlink>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The Mining (Work </w:t>
      </w:r>
      <w:proofErr w:type="spellStart"/>
      <w:r w:rsidRPr="004A76D7">
        <w:rPr>
          <w:rFonts w:ascii="Rockwell" w:eastAsia="Times New Roman" w:hAnsi="Rockwell" w:cs="Times New Roman"/>
          <w:sz w:val="24"/>
          <w:szCs w:val="24"/>
        </w:rPr>
        <w:t>Programmes</w:t>
      </w:r>
      <w:proofErr w:type="spellEnd"/>
      <w:r w:rsidRPr="004A76D7">
        <w:rPr>
          <w:rFonts w:ascii="Rockwell" w:eastAsia="Times New Roman" w:hAnsi="Rockwell" w:cs="Times New Roman"/>
          <w:sz w:val="24"/>
          <w:szCs w:val="24"/>
        </w:rPr>
        <w:t xml:space="preserve"> and Exploration Reports) Guidelines, 2017.</w:t>
      </w:r>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The Mining (</w:t>
      </w:r>
      <w:proofErr w:type="spellStart"/>
      <w:r w:rsidRPr="004A76D7">
        <w:rPr>
          <w:rFonts w:ascii="Rockwell" w:eastAsia="Times New Roman" w:hAnsi="Rockwell" w:cs="Times New Roman"/>
          <w:sz w:val="24"/>
          <w:szCs w:val="24"/>
        </w:rPr>
        <w:t>Licence</w:t>
      </w:r>
      <w:proofErr w:type="spellEnd"/>
      <w:r w:rsidRPr="004A76D7">
        <w:rPr>
          <w:rFonts w:ascii="Rockwell" w:eastAsia="Times New Roman" w:hAnsi="Rockwell" w:cs="Times New Roman"/>
          <w:sz w:val="24"/>
          <w:szCs w:val="24"/>
        </w:rPr>
        <w:t xml:space="preserve"> and Permit) Regulations, 2017.</w:t>
      </w:r>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The Mining (Use of Assets) Regulations Arrangement of Regulations, 2017.</w:t>
      </w:r>
    </w:p>
    <w:p w:rsidR="008E29E3" w:rsidRPr="004A76D7" w:rsidRDefault="008E29E3" w:rsidP="000E7DFC">
      <w:pPr>
        <w:spacing w:before="60"/>
        <w:ind w:right="780"/>
        <w:jc w:val="both"/>
        <w:rPr>
          <w:rFonts w:ascii="Rockwell" w:eastAsia="Times New Roman" w:hAnsi="Rockwell" w:cs="Times New Roman"/>
          <w:color w:val="333333"/>
          <w:sz w:val="24"/>
          <w:szCs w:val="24"/>
        </w:rPr>
      </w:pPr>
      <w:r w:rsidRPr="004A76D7">
        <w:rPr>
          <w:rFonts w:ascii="Rockwell" w:eastAsia="Times New Roman" w:hAnsi="Rockwell" w:cs="Times New Roman"/>
          <w:color w:val="333333"/>
          <w:sz w:val="24"/>
          <w:szCs w:val="24"/>
        </w:rPr>
        <w:t>The Mining (Mine support services) Regulations, 2017</w:t>
      </w:r>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Mi</w:t>
      </w:r>
      <w:r w:rsidR="006045C4">
        <w:rPr>
          <w:rFonts w:ascii="Rockwell" w:eastAsia="Times New Roman" w:hAnsi="Rockwell" w:cs="Times New Roman"/>
          <w:sz w:val="24"/>
          <w:szCs w:val="24"/>
        </w:rPr>
        <w:t xml:space="preserve">nistry of Energy and Minerals, </w:t>
      </w:r>
      <w:r w:rsidRPr="004A76D7">
        <w:rPr>
          <w:rFonts w:ascii="Rockwell" w:eastAsia="Times New Roman" w:hAnsi="Rockwell" w:cs="Times New Roman"/>
          <w:sz w:val="24"/>
          <w:szCs w:val="24"/>
        </w:rPr>
        <w:t xml:space="preserve">Tanzania Minerals Audit Agency (TMAA) Report on Forms and Rates of Rehabilitation </w:t>
      </w:r>
      <w:proofErr w:type="spellStart"/>
      <w:r w:rsidRPr="004A76D7">
        <w:rPr>
          <w:rFonts w:ascii="Rockwell" w:eastAsia="Times New Roman" w:hAnsi="Rockwell" w:cs="Times New Roman"/>
          <w:sz w:val="24"/>
          <w:szCs w:val="24"/>
        </w:rPr>
        <w:t>BonEHABILITATION</w:t>
      </w:r>
      <w:proofErr w:type="spellEnd"/>
      <w:r w:rsidRPr="004A76D7">
        <w:rPr>
          <w:rFonts w:ascii="Rockwell" w:eastAsia="Times New Roman" w:hAnsi="Rockwell" w:cs="Times New Roman"/>
          <w:sz w:val="24"/>
          <w:szCs w:val="24"/>
        </w:rPr>
        <w:t xml:space="preserve"> BONDS APPLICABLE IN THE MINING INDUSTRY December, 2009</w:t>
      </w:r>
    </w:p>
    <w:p w:rsidR="008E29E3" w:rsidRPr="004A76D7" w:rsidRDefault="008E29E3" w:rsidP="000E7DFC">
      <w:pPr>
        <w:spacing w:before="240" w:after="24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The Giant Mine remediation plan for Indian and Northern Affairs Canada, Giant Mine Remediation Project prepared by SRK </w:t>
      </w:r>
      <w:proofErr w:type="spellStart"/>
      <w:r w:rsidRPr="004A76D7">
        <w:rPr>
          <w:rFonts w:ascii="Rockwell" w:eastAsia="Times New Roman" w:hAnsi="Rockwell" w:cs="Times New Roman"/>
          <w:sz w:val="24"/>
          <w:szCs w:val="24"/>
        </w:rPr>
        <w:t>consolting</w:t>
      </w:r>
      <w:proofErr w:type="spellEnd"/>
      <w:r w:rsidRPr="004A76D7">
        <w:rPr>
          <w:rFonts w:ascii="Rockwell" w:eastAsia="Times New Roman" w:hAnsi="Rockwell" w:cs="Times New Roman"/>
          <w:sz w:val="24"/>
          <w:szCs w:val="24"/>
        </w:rPr>
        <w:t xml:space="preserve"> Engineers and Scientist 2007</w:t>
      </w:r>
    </w:p>
    <w:p w:rsidR="008E29E3" w:rsidRPr="004A76D7" w:rsidRDefault="008E29E3" w:rsidP="000E7DFC">
      <w:pPr>
        <w:spacing w:before="240"/>
        <w:ind w:right="80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The Mining Law Review.  Available in this</w:t>
      </w:r>
      <w:hyperlink r:id="rId21">
        <w:r w:rsidRPr="004A76D7">
          <w:rPr>
            <w:rFonts w:ascii="Rockwell" w:eastAsia="Times New Roman" w:hAnsi="Rockwell" w:cs="Times New Roman"/>
            <w:sz w:val="24"/>
            <w:szCs w:val="24"/>
          </w:rPr>
          <w:t xml:space="preserve"> </w:t>
        </w:r>
      </w:hyperlink>
      <w:hyperlink r:id="rId22">
        <w:r w:rsidRPr="004A76D7">
          <w:rPr>
            <w:rFonts w:ascii="Rockwell" w:eastAsia="Times New Roman" w:hAnsi="Rockwell" w:cs="Times New Roman"/>
            <w:color w:val="1155CC"/>
            <w:sz w:val="24"/>
            <w:szCs w:val="24"/>
            <w:u w:val="single"/>
          </w:rPr>
          <w:t>link</w:t>
        </w:r>
      </w:hyperlink>
      <w:r w:rsidRPr="004A76D7">
        <w:rPr>
          <w:rFonts w:ascii="Rockwell" w:eastAsia="Times New Roman" w:hAnsi="Rockwell" w:cs="Times New Roman"/>
          <w:sz w:val="24"/>
          <w:szCs w:val="24"/>
        </w:rPr>
        <w:tab/>
      </w:r>
    </w:p>
    <w:p w:rsidR="008E29E3" w:rsidRPr="004A76D7" w:rsidRDefault="008E29E3" w:rsidP="000E7DFC">
      <w:pPr>
        <w:jc w:val="both"/>
        <w:rPr>
          <w:rFonts w:ascii="Rockwell" w:eastAsia="Times New Roman" w:hAnsi="Rockwell" w:cs="Times New Roman"/>
          <w:sz w:val="24"/>
          <w:szCs w:val="24"/>
        </w:rPr>
      </w:pPr>
      <w:r w:rsidRPr="004A76D7">
        <w:rPr>
          <w:rFonts w:ascii="Rockwell" w:eastAsia="Times New Roman" w:hAnsi="Rockwell" w:cs="Times New Roman"/>
          <w:sz w:val="24"/>
          <w:szCs w:val="24"/>
        </w:rPr>
        <w:t>Tanzania Mining Commission Ministry of Minerals-Mine Closure Guidelines 2019-</w:t>
      </w:r>
    </w:p>
    <w:p w:rsidR="008E29E3" w:rsidRPr="004A76D7" w:rsidRDefault="00106C88" w:rsidP="000E7DFC">
      <w:pPr>
        <w:jc w:val="both"/>
        <w:rPr>
          <w:rFonts w:ascii="Rockwell" w:hAnsi="Rockwell"/>
          <w:sz w:val="24"/>
          <w:szCs w:val="24"/>
        </w:rPr>
      </w:pPr>
      <w:r>
        <w:rPr>
          <w:rFonts w:ascii="Rockwell" w:hAnsi="Rockwell"/>
          <w:sz w:val="24"/>
          <w:szCs w:val="24"/>
        </w:rPr>
        <w:pict>
          <v:rect id="_x0000_i1025" style="width:0;height:1.5pt" o:hralign="center" o:hrstd="t" o:hr="t" fillcolor="#a0a0a0" stroked="f"/>
        </w:pict>
      </w:r>
    </w:p>
    <w:p w:rsidR="006822F2" w:rsidRDefault="008E29E3" w:rsidP="000E7DFC">
      <w:pPr>
        <w:spacing w:before="240" w:after="240"/>
        <w:jc w:val="both"/>
        <w:rPr>
          <w:rFonts w:ascii="Rockwell" w:hAnsi="Rockwell"/>
          <w:sz w:val="24"/>
          <w:szCs w:val="24"/>
        </w:rPr>
      </w:pPr>
      <w:r w:rsidRPr="004A76D7">
        <w:rPr>
          <w:rFonts w:ascii="Rockwell" w:hAnsi="Rockwell"/>
          <w:sz w:val="24"/>
          <w:szCs w:val="24"/>
        </w:rPr>
        <w:t xml:space="preserve"> [H1]should be included in the abbreaviations.</w:t>
      </w:r>
    </w:p>
    <w:p w:rsidR="00EC7926" w:rsidRDefault="00EC7926" w:rsidP="000E7DFC">
      <w:pPr>
        <w:spacing w:before="240" w:after="240"/>
        <w:jc w:val="both"/>
        <w:rPr>
          <w:rFonts w:ascii="Rockwell" w:hAnsi="Rockwell"/>
          <w:sz w:val="24"/>
          <w:szCs w:val="24"/>
        </w:rPr>
      </w:pPr>
    </w:p>
    <w:p w:rsidR="00EC7926" w:rsidRDefault="00EC7926" w:rsidP="000E7DFC">
      <w:pPr>
        <w:pStyle w:val="Heading1"/>
        <w:rPr>
          <w:rFonts w:ascii="Rockwell" w:eastAsia="Rockwell" w:hAnsi="Rockwell" w:cs="Rockwell"/>
          <w:b/>
          <w:color w:val="000000"/>
          <w:sz w:val="24"/>
          <w:szCs w:val="24"/>
        </w:rPr>
      </w:pPr>
      <w:bookmarkStart w:id="68" w:name="_Toc209047158"/>
      <w:r>
        <w:rPr>
          <w:rFonts w:ascii="Rockwell" w:eastAsia="Rockwell" w:hAnsi="Rockwell" w:cs="Rockwell"/>
          <w:b/>
          <w:sz w:val="24"/>
          <w:szCs w:val="24"/>
        </w:rPr>
        <w:t>6</w:t>
      </w:r>
      <w:r>
        <w:rPr>
          <w:rFonts w:ascii="Rockwell" w:eastAsia="Rockwell" w:hAnsi="Rockwell" w:cs="Rockwell"/>
          <w:b/>
          <w:color w:val="000000"/>
          <w:sz w:val="24"/>
          <w:szCs w:val="24"/>
        </w:rPr>
        <w:t>. Appendices</w:t>
      </w:r>
      <w:bookmarkEnd w:id="68"/>
    </w:p>
    <w:p w:rsidR="00EC7926" w:rsidRDefault="00EC7926" w:rsidP="000E7DFC">
      <w:pPr>
        <w:spacing w:after="160"/>
        <w:jc w:val="both"/>
        <w:rPr>
          <w:rFonts w:ascii="Rockwell" w:eastAsia="Rockwell" w:hAnsi="Rockwell" w:cs="Rockwell"/>
          <w:sz w:val="24"/>
          <w:szCs w:val="24"/>
        </w:rPr>
      </w:pPr>
    </w:p>
    <w:p w:rsidR="006045C4" w:rsidRDefault="006045C4" w:rsidP="000E7DFC">
      <w:pPr>
        <w:spacing w:after="160"/>
        <w:jc w:val="both"/>
        <w:rPr>
          <w:rFonts w:ascii="Rockwell" w:eastAsia="Rockwell" w:hAnsi="Rockwell" w:cs="Rockwell"/>
          <w:sz w:val="24"/>
          <w:szCs w:val="24"/>
        </w:rPr>
      </w:pPr>
    </w:p>
    <w:p w:rsidR="006045C4" w:rsidRDefault="006045C4" w:rsidP="000E7DFC">
      <w:pPr>
        <w:spacing w:after="160"/>
        <w:jc w:val="both"/>
        <w:rPr>
          <w:rFonts w:ascii="Rockwell" w:eastAsia="Rockwell" w:hAnsi="Rockwell" w:cs="Rockwell"/>
          <w:sz w:val="24"/>
          <w:szCs w:val="24"/>
        </w:rPr>
      </w:pPr>
    </w:p>
    <w:p w:rsidR="006045C4" w:rsidRDefault="006045C4" w:rsidP="000E7DFC">
      <w:pPr>
        <w:spacing w:after="160"/>
        <w:jc w:val="both"/>
        <w:rPr>
          <w:rFonts w:ascii="Rockwell" w:eastAsia="Rockwell" w:hAnsi="Rockwell" w:cs="Rockwell"/>
          <w:sz w:val="24"/>
          <w:szCs w:val="24"/>
        </w:rPr>
      </w:pPr>
    </w:p>
    <w:p w:rsidR="006045C4" w:rsidRDefault="006045C4" w:rsidP="000E7DFC">
      <w:pPr>
        <w:spacing w:after="160"/>
        <w:jc w:val="both"/>
        <w:rPr>
          <w:rFonts w:ascii="Rockwell" w:eastAsia="Rockwell" w:hAnsi="Rockwell" w:cs="Rockwell"/>
          <w:sz w:val="24"/>
          <w:szCs w:val="24"/>
        </w:rPr>
      </w:pPr>
    </w:p>
    <w:p w:rsidR="006045C4" w:rsidRDefault="006045C4" w:rsidP="000E7DFC">
      <w:pPr>
        <w:spacing w:after="160"/>
        <w:jc w:val="both"/>
        <w:rPr>
          <w:rFonts w:ascii="Rockwell" w:eastAsia="Rockwell" w:hAnsi="Rockwell" w:cs="Rockwell"/>
          <w:sz w:val="24"/>
          <w:szCs w:val="24"/>
        </w:rPr>
      </w:pPr>
    </w:p>
    <w:p w:rsidR="006045C4" w:rsidRDefault="006045C4" w:rsidP="000E7DFC">
      <w:pPr>
        <w:spacing w:after="160"/>
        <w:jc w:val="both"/>
        <w:rPr>
          <w:rFonts w:ascii="Rockwell" w:eastAsia="Rockwell" w:hAnsi="Rockwell" w:cs="Rockwell"/>
          <w:sz w:val="24"/>
          <w:szCs w:val="24"/>
        </w:rPr>
      </w:pPr>
    </w:p>
    <w:p w:rsidR="006045C4" w:rsidRDefault="006045C4" w:rsidP="000E7DFC">
      <w:pPr>
        <w:spacing w:after="160"/>
        <w:jc w:val="both"/>
        <w:rPr>
          <w:rFonts w:ascii="Rockwell" w:eastAsia="Rockwell" w:hAnsi="Rockwell" w:cs="Rockwell"/>
          <w:sz w:val="24"/>
          <w:szCs w:val="24"/>
        </w:rPr>
      </w:pPr>
    </w:p>
    <w:p w:rsidR="006045C4" w:rsidRDefault="006045C4" w:rsidP="000E7DFC">
      <w:pPr>
        <w:spacing w:after="160"/>
        <w:jc w:val="both"/>
        <w:rPr>
          <w:rFonts w:ascii="Rockwell" w:eastAsia="Rockwell" w:hAnsi="Rockwell" w:cs="Rockwell"/>
          <w:sz w:val="24"/>
          <w:szCs w:val="24"/>
        </w:rPr>
      </w:pPr>
    </w:p>
    <w:p w:rsidR="006045C4" w:rsidRDefault="006045C4" w:rsidP="000E7DFC">
      <w:pPr>
        <w:spacing w:after="160"/>
        <w:jc w:val="both"/>
        <w:rPr>
          <w:rFonts w:ascii="Rockwell" w:eastAsia="Rockwell" w:hAnsi="Rockwell" w:cs="Rockwell"/>
          <w:sz w:val="24"/>
          <w:szCs w:val="24"/>
        </w:rPr>
      </w:pPr>
    </w:p>
    <w:p w:rsidR="006045C4" w:rsidRDefault="006045C4" w:rsidP="000E7DFC">
      <w:pPr>
        <w:spacing w:after="160"/>
        <w:jc w:val="both"/>
        <w:rPr>
          <w:rFonts w:ascii="Rockwell" w:eastAsia="Rockwell" w:hAnsi="Rockwell" w:cs="Rockwell"/>
          <w:sz w:val="24"/>
          <w:szCs w:val="24"/>
        </w:rPr>
      </w:pPr>
    </w:p>
    <w:p w:rsidR="006045C4" w:rsidRDefault="006045C4" w:rsidP="000E7DFC">
      <w:pPr>
        <w:spacing w:after="160"/>
        <w:jc w:val="both"/>
        <w:rPr>
          <w:rFonts w:ascii="Rockwell" w:eastAsia="Rockwell" w:hAnsi="Rockwell" w:cs="Rockwell"/>
          <w:sz w:val="24"/>
          <w:szCs w:val="24"/>
        </w:rPr>
      </w:pPr>
    </w:p>
    <w:p w:rsidR="00EC7926" w:rsidRDefault="00EC7926" w:rsidP="000E7DFC">
      <w:pPr>
        <w:spacing w:after="160"/>
        <w:jc w:val="both"/>
        <w:rPr>
          <w:rFonts w:ascii="Rockwell" w:eastAsia="Rockwell" w:hAnsi="Rockwell" w:cs="Rockwell"/>
          <w:b/>
          <w:sz w:val="24"/>
          <w:szCs w:val="24"/>
        </w:rPr>
        <w:sectPr w:rsidR="00EC7926" w:rsidSect="00420839">
          <w:headerReference w:type="default" r:id="rId23"/>
          <w:footerReference w:type="default" r:id="rId24"/>
          <w:pgSz w:w="11906" w:h="16838"/>
          <w:pgMar w:top="426" w:right="1417" w:bottom="1417" w:left="1417" w:header="708" w:footer="708" w:gutter="0"/>
          <w:pgNumType w:start="1"/>
          <w:cols w:space="720"/>
        </w:sectPr>
      </w:pPr>
    </w:p>
    <w:p w:rsidR="00EC7926" w:rsidRDefault="006045C4" w:rsidP="000E7DFC">
      <w:pPr>
        <w:pStyle w:val="Heading2"/>
        <w:rPr>
          <w:rFonts w:ascii="Rockwell" w:eastAsia="Rockwell" w:hAnsi="Rockwell" w:cs="Rockwell"/>
          <w:b/>
          <w:sz w:val="24"/>
          <w:szCs w:val="24"/>
        </w:rPr>
      </w:pPr>
      <w:bookmarkStart w:id="69" w:name="_Toc209047162"/>
      <w:r>
        <w:rPr>
          <w:rFonts w:ascii="Rockwell" w:eastAsia="Rockwell" w:hAnsi="Rockwell" w:cs="Rockwell"/>
          <w:b/>
          <w:sz w:val="24"/>
          <w:szCs w:val="24"/>
        </w:rPr>
        <w:lastRenderedPageBreak/>
        <w:t>Appendix 1</w:t>
      </w:r>
      <w:r w:rsidR="00EC7926">
        <w:rPr>
          <w:rFonts w:ascii="Rockwell" w:eastAsia="Rockwell" w:hAnsi="Rockwell" w:cs="Rockwell"/>
          <w:b/>
          <w:sz w:val="24"/>
          <w:szCs w:val="24"/>
        </w:rPr>
        <w:t>: Summary of Remediation Management Plan for the mining operations</w:t>
      </w:r>
      <w:bookmarkEnd w:id="69"/>
    </w:p>
    <w:p w:rsidR="00EC7926" w:rsidRPr="00EC7926" w:rsidRDefault="00EC7926" w:rsidP="000E7DFC"/>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5"/>
        <w:gridCol w:w="2296"/>
        <w:gridCol w:w="1559"/>
        <w:gridCol w:w="2268"/>
        <w:gridCol w:w="1984"/>
        <w:gridCol w:w="2835"/>
      </w:tblGrid>
      <w:tr w:rsidR="00EC7926" w:rsidTr="00EC7926">
        <w:tc>
          <w:tcPr>
            <w:tcW w:w="3795" w:type="dxa"/>
          </w:tcPr>
          <w:p w:rsidR="00EC7926" w:rsidRDefault="00EC7926" w:rsidP="000E7DFC">
            <w:pPr>
              <w:spacing w:after="160"/>
              <w:rPr>
                <w:rFonts w:ascii="Rockwell" w:eastAsia="Rockwell" w:hAnsi="Rockwell" w:cs="Rockwell"/>
                <w:b/>
                <w:sz w:val="24"/>
                <w:szCs w:val="24"/>
              </w:rPr>
            </w:pPr>
            <w:r>
              <w:rPr>
                <w:rFonts w:ascii="Rockwell" w:eastAsia="Rockwell" w:hAnsi="Rockwell" w:cs="Rockwell"/>
                <w:b/>
                <w:sz w:val="24"/>
                <w:szCs w:val="24"/>
              </w:rPr>
              <w:t>Description of Possible impacts ( Components)</w:t>
            </w:r>
          </w:p>
        </w:tc>
        <w:tc>
          <w:tcPr>
            <w:tcW w:w="2296" w:type="dxa"/>
          </w:tcPr>
          <w:p w:rsidR="00EC7926" w:rsidRDefault="00EC7926" w:rsidP="000E7DFC">
            <w:pPr>
              <w:spacing w:after="160"/>
              <w:rPr>
                <w:rFonts w:ascii="Rockwell" w:eastAsia="Rockwell" w:hAnsi="Rockwell" w:cs="Rockwell"/>
                <w:b/>
                <w:sz w:val="24"/>
                <w:szCs w:val="24"/>
              </w:rPr>
            </w:pPr>
            <w:r>
              <w:rPr>
                <w:rFonts w:ascii="Rockwell" w:eastAsia="Rockwell" w:hAnsi="Rockwell" w:cs="Rockwell"/>
                <w:b/>
                <w:sz w:val="24"/>
                <w:szCs w:val="24"/>
              </w:rPr>
              <w:t>Mitigation measure /Remediation methods</w:t>
            </w:r>
          </w:p>
        </w:tc>
        <w:tc>
          <w:tcPr>
            <w:tcW w:w="1559" w:type="dxa"/>
          </w:tcPr>
          <w:p w:rsidR="00EC7926" w:rsidRDefault="00EC7926" w:rsidP="000E7DFC">
            <w:pPr>
              <w:spacing w:after="160"/>
              <w:rPr>
                <w:rFonts w:ascii="Rockwell" w:eastAsia="Rockwell" w:hAnsi="Rockwell" w:cs="Rockwell"/>
                <w:b/>
                <w:sz w:val="24"/>
                <w:szCs w:val="24"/>
              </w:rPr>
            </w:pPr>
            <w:r>
              <w:rPr>
                <w:rFonts w:ascii="Rockwell" w:eastAsia="Rockwell" w:hAnsi="Rockwell" w:cs="Rockwell"/>
                <w:b/>
                <w:sz w:val="24"/>
                <w:szCs w:val="24"/>
              </w:rPr>
              <w:t>Budget (Kshs.)</w:t>
            </w:r>
          </w:p>
        </w:tc>
        <w:tc>
          <w:tcPr>
            <w:tcW w:w="2268" w:type="dxa"/>
          </w:tcPr>
          <w:p w:rsidR="00EC7926" w:rsidRDefault="00EC7926" w:rsidP="000E7DFC">
            <w:pPr>
              <w:spacing w:after="160"/>
              <w:rPr>
                <w:rFonts w:ascii="Rockwell" w:eastAsia="Rockwell" w:hAnsi="Rockwell" w:cs="Rockwell"/>
                <w:b/>
                <w:sz w:val="24"/>
                <w:szCs w:val="24"/>
              </w:rPr>
            </w:pPr>
            <w:r>
              <w:rPr>
                <w:rFonts w:ascii="Rockwell" w:eastAsia="Rockwell" w:hAnsi="Rockwell" w:cs="Rockwell"/>
                <w:b/>
                <w:sz w:val="24"/>
                <w:szCs w:val="24"/>
              </w:rPr>
              <w:t>Implementation Schedule</w:t>
            </w:r>
          </w:p>
        </w:tc>
        <w:tc>
          <w:tcPr>
            <w:tcW w:w="1984" w:type="dxa"/>
          </w:tcPr>
          <w:p w:rsidR="00EC7926" w:rsidRDefault="00EC7926" w:rsidP="000E7DFC">
            <w:pPr>
              <w:spacing w:after="160"/>
              <w:rPr>
                <w:rFonts w:ascii="Rockwell" w:eastAsia="Rockwell" w:hAnsi="Rockwell" w:cs="Rockwell"/>
                <w:b/>
                <w:sz w:val="24"/>
                <w:szCs w:val="24"/>
              </w:rPr>
            </w:pPr>
            <w:r>
              <w:rPr>
                <w:rFonts w:ascii="Rockwell" w:eastAsia="Rockwell" w:hAnsi="Rockwell" w:cs="Rockwell"/>
                <w:b/>
                <w:sz w:val="24"/>
                <w:szCs w:val="24"/>
              </w:rPr>
              <w:t>Responsibility</w:t>
            </w:r>
          </w:p>
        </w:tc>
        <w:tc>
          <w:tcPr>
            <w:tcW w:w="2835" w:type="dxa"/>
          </w:tcPr>
          <w:p w:rsidR="00EC7926" w:rsidRDefault="00EC7926" w:rsidP="000E7DFC">
            <w:pPr>
              <w:spacing w:after="160"/>
              <w:rPr>
                <w:rFonts w:ascii="Rockwell" w:eastAsia="Rockwell" w:hAnsi="Rockwell" w:cs="Rockwell"/>
                <w:b/>
                <w:sz w:val="24"/>
                <w:szCs w:val="24"/>
              </w:rPr>
            </w:pPr>
            <w:r>
              <w:rPr>
                <w:rFonts w:ascii="Rockwell" w:eastAsia="Rockwell" w:hAnsi="Rockwell" w:cs="Rockwell"/>
                <w:b/>
                <w:sz w:val="24"/>
                <w:szCs w:val="24"/>
              </w:rPr>
              <w:t>Verifiable Monitoring Indicators/ Monitoring Mechanism</w:t>
            </w: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Open pits</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Waste rock</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Tailings and sludge containment areas</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Historic foreshore tailings</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Site water management</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Underground mine components</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Quarries, burrow pits and overburdened pits</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Contaminated soils</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Building and other infrastructure</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Waste management  </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lastRenderedPageBreak/>
              <w:t>Air quality management</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Biodiversity assessment</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Aesthetic value management</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Inclusive Public Participation and meaningful Stakeholder engagement</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Site stability under a range of seasonal conditions</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Public safety</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Workers safety</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Socio-cultural safeguards</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Resettlement action planning</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r w:rsidR="00EC7926" w:rsidTr="00EC7926">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7926" w:rsidRDefault="00EC7926" w:rsidP="000E7DFC">
            <w:pPr>
              <w:rPr>
                <w:rFonts w:ascii="Rockwell" w:eastAsia="Rockwell" w:hAnsi="Rockwell" w:cs="Rockwell"/>
                <w:sz w:val="24"/>
                <w:szCs w:val="24"/>
              </w:rPr>
            </w:pPr>
            <w:r>
              <w:rPr>
                <w:rFonts w:ascii="Rockwell" w:eastAsia="Rockwell" w:hAnsi="Rockwell" w:cs="Rockwell"/>
                <w:sz w:val="24"/>
                <w:szCs w:val="24"/>
              </w:rPr>
              <w:t>Contingency and monitoring plan</w:t>
            </w:r>
          </w:p>
        </w:tc>
        <w:tc>
          <w:tcPr>
            <w:tcW w:w="2296" w:type="dxa"/>
          </w:tcPr>
          <w:p w:rsidR="00EC7926" w:rsidRDefault="00EC7926" w:rsidP="000E7DFC">
            <w:pPr>
              <w:jc w:val="both"/>
              <w:rPr>
                <w:rFonts w:ascii="Rockwell" w:eastAsia="Rockwell" w:hAnsi="Rockwell" w:cs="Rockwell"/>
                <w:sz w:val="24"/>
                <w:szCs w:val="24"/>
              </w:rPr>
            </w:pPr>
          </w:p>
        </w:tc>
        <w:tc>
          <w:tcPr>
            <w:tcW w:w="1559" w:type="dxa"/>
          </w:tcPr>
          <w:p w:rsidR="00EC7926" w:rsidRDefault="00EC7926" w:rsidP="000E7DFC">
            <w:pPr>
              <w:jc w:val="both"/>
              <w:rPr>
                <w:rFonts w:ascii="Rockwell" w:eastAsia="Rockwell" w:hAnsi="Rockwell" w:cs="Rockwell"/>
                <w:sz w:val="24"/>
                <w:szCs w:val="24"/>
              </w:rPr>
            </w:pPr>
          </w:p>
        </w:tc>
        <w:tc>
          <w:tcPr>
            <w:tcW w:w="2268" w:type="dxa"/>
          </w:tcPr>
          <w:p w:rsidR="00EC7926" w:rsidRDefault="00EC7926" w:rsidP="000E7DFC">
            <w:pPr>
              <w:jc w:val="both"/>
              <w:rPr>
                <w:rFonts w:ascii="Rockwell" w:eastAsia="Rockwell" w:hAnsi="Rockwell" w:cs="Rockwell"/>
                <w:sz w:val="24"/>
                <w:szCs w:val="24"/>
              </w:rPr>
            </w:pPr>
          </w:p>
        </w:tc>
        <w:tc>
          <w:tcPr>
            <w:tcW w:w="1984" w:type="dxa"/>
          </w:tcPr>
          <w:p w:rsidR="00EC7926" w:rsidRDefault="00EC7926" w:rsidP="000E7DFC">
            <w:pPr>
              <w:jc w:val="both"/>
              <w:rPr>
                <w:rFonts w:ascii="Rockwell" w:eastAsia="Rockwell" w:hAnsi="Rockwell" w:cs="Rockwell"/>
                <w:sz w:val="24"/>
                <w:szCs w:val="24"/>
              </w:rPr>
            </w:pPr>
          </w:p>
        </w:tc>
        <w:tc>
          <w:tcPr>
            <w:tcW w:w="2835" w:type="dxa"/>
          </w:tcPr>
          <w:p w:rsidR="00EC7926" w:rsidRDefault="00EC7926" w:rsidP="000E7DFC">
            <w:pPr>
              <w:jc w:val="both"/>
              <w:rPr>
                <w:rFonts w:ascii="Rockwell" w:eastAsia="Rockwell" w:hAnsi="Rockwell" w:cs="Rockwell"/>
                <w:sz w:val="24"/>
                <w:szCs w:val="24"/>
              </w:rPr>
            </w:pPr>
          </w:p>
        </w:tc>
      </w:tr>
    </w:tbl>
    <w:p w:rsidR="00EC7926" w:rsidRDefault="00EC7926" w:rsidP="000E7DFC">
      <w:pPr>
        <w:spacing w:after="160"/>
        <w:jc w:val="both"/>
        <w:rPr>
          <w:rFonts w:ascii="Rockwell" w:eastAsia="Rockwell" w:hAnsi="Rockwell" w:cs="Rockwell"/>
          <w:sz w:val="24"/>
          <w:szCs w:val="24"/>
        </w:rPr>
        <w:sectPr w:rsidR="00EC7926">
          <w:pgSz w:w="16838" w:h="11906" w:orient="landscape"/>
          <w:pgMar w:top="1417" w:right="1417" w:bottom="1417" w:left="1417" w:header="708" w:footer="708" w:gutter="0"/>
          <w:cols w:space="720"/>
        </w:sectPr>
      </w:pPr>
    </w:p>
    <w:p w:rsidR="006822F2" w:rsidRPr="004A76D7" w:rsidRDefault="006822F2" w:rsidP="000E7DFC">
      <w:pPr>
        <w:spacing w:before="240" w:after="160"/>
        <w:jc w:val="both"/>
        <w:rPr>
          <w:rFonts w:ascii="Rockwell" w:eastAsia="Times New Roman" w:hAnsi="Rockwell" w:cs="Times New Roman"/>
          <w:sz w:val="24"/>
          <w:szCs w:val="24"/>
        </w:rPr>
      </w:pP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p w:rsidR="006822F2" w:rsidRPr="004A76D7" w:rsidRDefault="00AD5D8B" w:rsidP="000E7DFC">
      <w:pPr>
        <w:spacing w:before="240" w:after="160"/>
        <w:jc w:val="both"/>
        <w:rPr>
          <w:rFonts w:ascii="Rockwell" w:eastAsia="Times New Roman" w:hAnsi="Rockwell" w:cs="Times New Roman"/>
          <w:sz w:val="24"/>
          <w:szCs w:val="24"/>
        </w:rPr>
      </w:pPr>
      <w:r w:rsidRPr="004A76D7">
        <w:rPr>
          <w:rFonts w:ascii="Rockwell" w:eastAsia="Times New Roman" w:hAnsi="Rockwell" w:cs="Times New Roman"/>
          <w:sz w:val="24"/>
          <w:szCs w:val="24"/>
        </w:rPr>
        <w:t xml:space="preserve"> </w:t>
      </w:r>
    </w:p>
    <w:sectPr w:rsidR="006822F2" w:rsidRPr="004A76D7" w:rsidSect="001453FB">
      <w:footerReference w:type="default" r:id="rId25"/>
      <w:pgSz w:w="12240" w:h="15840"/>
      <w:pgMar w:top="1134"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C88" w:rsidRDefault="00106C88" w:rsidP="004A76D7">
      <w:pPr>
        <w:spacing w:line="240" w:lineRule="auto"/>
      </w:pPr>
      <w:r>
        <w:separator/>
      </w:r>
    </w:p>
  </w:endnote>
  <w:endnote w:type="continuationSeparator" w:id="0">
    <w:p w:rsidR="00106C88" w:rsidRDefault="00106C88" w:rsidP="004A76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C27" w:rsidRDefault="00EF0C27">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F80121">
      <w:rPr>
        <w:noProof/>
        <w:color w:val="000000"/>
      </w:rPr>
      <w:t>4</w:t>
    </w:r>
    <w:r>
      <w:rPr>
        <w:color w:val="000000"/>
      </w:rPr>
      <w:fldChar w:fldCharType="end"/>
    </w:r>
  </w:p>
  <w:p w:rsidR="00EF0C27" w:rsidRDefault="00EF0C27">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Rockwell" w:hAnsi="Rockwell"/>
        <w:sz w:val="24"/>
        <w:szCs w:val="24"/>
      </w:rPr>
      <w:id w:val="630750465"/>
      <w:docPartObj>
        <w:docPartGallery w:val="Page Numbers (Bottom of Page)"/>
        <w:docPartUnique/>
      </w:docPartObj>
    </w:sdtPr>
    <w:sdtEndPr/>
    <w:sdtContent>
      <w:sdt>
        <w:sdtPr>
          <w:rPr>
            <w:rFonts w:ascii="Rockwell" w:hAnsi="Rockwell"/>
            <w:sz w:val="24"/>
            <w:szCs w:val="24"/>
          </w:rPr>
          <w:id w:val="-1769616900"/>
          <w:docPartObj>
            <w:docPartGallery w:val="Page Numbers (Top of Page)"/>
            <w:docPartUnique/>
          </w:docPartObj>
        </w:sdtPr>
        <w:sdtEndPr/>
        <w:sdtContent>
          <w:p w:rsidR="00EF0C27" w:rsidRPr="004A76D7" w:rsidRDefault="00EF0C27">
            <w:pPr>
              <w:pStyle w:val="Footer"/>
              <w:jc w:val="right"/>
              <w:rPr>
                <w:rFonts w:ascii="Rockwell" w:hAnsi="Rockwell"/>
                <w:sz w:val="24"/>
                <w:szCs w:val="24"/>
              </w:rPr>
            </w:pPr>
            <w:r w:rsidRPr="004A76D7">
              <w:rPr>
                <w:rFonts w:ascii="Rockwell" w:hAnsi="Rockwell"/>
                <w:sz w:val="24"/>
                <w:szCs w:val="24"/>
              </w:rPr>
              <w:t xml:space="preserve">Page </w:t>
            </w:r>
            <w:r w:rsidRPr="004A76D7">
              <w:rPr>
                <w:rFonts w:ascii="Rockwell" w:hAnsi="Rockwell"/>
                <w:b/>
                <w:bCs/>
                <w:sz w:val="24"/>
                <w:szCs w:val="24"/>
              </w:rPr>
              <w:fldChar w:fldCharType="begin"/>
            </w:r>
            <w:r w:rsidRPr="004A76D7">
              <w:rPr>
                <w:rFonts w:ascii="Rockwell" w:hAnsi="Rockwell"/>
                <w:b/>
                <w:bCs/>
                <w:sz w:val="24"/>
                <w:szCs w:val="24"/>
              </w:rPr>
              <w:instrText xml:space="preserve"> PAGE </w:instrText>
            </w:r>
            <w:r w:rsidRPr="004A76D7">
              <w:rPr>
                <w:rFonts w:ascii="Rockwell" w:hAnsi="Rockwell"/>
                <w:b/>
                <w:bCs/>
                <w:sz w:val="24"/>
                <w:szCs w:val="24"/>
              </w:rPr>
              <w:fldChar w:fldCharType="separate"/>
            </w:r>
            <w:r w:rsidR="00F80121">
              <w:rPr>
                <w:rFonts w:ascii="Rockwell" w:hAnsi="Rockwell"/>
                <w:b/>
                <w:bCs/>
                <w:noProof/>
                <w:sz w:val="24"/>
                <w:szCs w:val="24"/>
              </w:rPr>
              <w:t>1</w:t>
            </w:r>
            <w:r w:rsidRPr="004A76D7">
              <w:rPr>
                <w:rFonts w:ascii="Rockwell" w:hAnsi="Rockwell"/>
                <w:b/>
                <w:bCs/>
                <w:sz w:val="24"/>
                <w:szCs w:val="24"/>
              </w:rPr>
              <w:fldChar w:fldCharType="end"/>
            </w:r>
            <w:r w:rsidRPr="004A76D7">
              <w:rPr>
                <w:rFonts w:ascii="Rockwell" w:hAnsi="Rockwell"/>
                <w:sz w:val="24"/>
                <w:szCs w:val="24"/>
              </w:rPr>
              <w:t xml:space="preserve"> of </w:t>
            </w:r>
            <w:r w:rsidRPr="004A76D7">
              <w:rPr>
                <w:rFonts w:ascii="Rockwell" w:hAnsi="Rockwell"/>
                <w:b/>
                <w:bCs/>
                <w:sz w:val="24"/>
                <w:szCs w:val="24"/>
              </w:rPr>
              <w:fldChar w:fldCharType="begin"/>
            </w:r>
            <w:r w:rsidRPr="004A76D7">
              <w:rPr>
                <w:rFonts w:ascii="Rockwell" w:hAnsi="Rockwell"/>
                <w:b/>
                <w:bCs/>
                <w:sz w:val="24"/>
                <w:szCs w:val="24"/>
              </w:rPr>
              <w:instrText xml:space="preserve"> NUMPAGES  </w:instrText>
            </w:r>
            <w:r w:rsidRPr="004A76D7">
              <w:rPr>
                <w:rFonts w:ascii="Rockwell" w:hAnsi="Rockwell"/>
                <w:b/>
                <w:bCs/>
                <w:sz w:val="24"/>
                <w:szCs w:val="24"/>
              </w:rPr>
              <w:fldChar w:fldCharType="separate"/>
            </w:r>
            <w:r w:rsidR="00F80121">
              <w:rPr>
                <w:rFonts w:ascii="Rockwell" w:hAnsi="Rockwell"/>
                <w:b/>
                <w:bCs/>
                <w:noProof/>
                <w:sz w:val="24"/>
                <w:szCs w:val="24"/>
              </w:rPr>
              <w:t>65</w:t>
            </w:r>
            <w:r w:rsidRPr="004A76D7">
              <w:rPr>
                <w:rFonts w:ascii="Rockwell" w:hAnsi="Rockwell"/>
                <w:b/>
                <w:bCs/>
                <w:sz w:val="24"/>
                <w:szCs w:val="24"/>
              </w:rPr>
              <w:fldChar w:fldCharType="end"/>
            </w:r>
          </w:p>
        </w:sdtContent>
      </w:sdt>
    </w:sdtContent>
  </w:sdt>
  <w:p w:rsidR="00EF0C27" w:rsidRDefault="00EF0C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C88" w:rsidRDefault="00106C88" w:rsidP="004A76D7">
      <w:pPr>
        <w:spacing w:line="240" w:lineRule="auto"/>
      </w:pPr>
      <w:r>
        <w:separator/>
      </w:r>
    </w:p>
  </w:footnote>
  <w:footnote w:type="continuationSeparator" w:id="0">
    <w:p w:rsidR="00106C88" w:rsidRDefault="00106C88" w:rsidP="004A76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C27" w:rsidRDefault="00EF0C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6526A"/>
    <w:multiLevelType w:val="hybridMultilevel"/>
    <w:tmpl w:val="6F9E74B0"/>
    <w:lvl w:ilvl="0" w:tplc="DAB013CA">
      <w:start w:val="1"/>
      <w:numFmt w:val="lowerLetter"/>
      <w:lvlText w:val="(%1)"/>
      <w:lvlJc w:val="left"/>
      <w:pPr>
        <w:ind w:left="1164" w:hanging="360"/>
      </w:pPr>
      <w:rPr>
        <w:rFonts w:hint="default"/>
      </w:rPr>
    </w:lvl>
    <w:lvl w:ilvl="1" w:tplc="04090019" w:tentative="1">
      <w:start w:val="1"/>
      <w:numFmt w:val="lowerLetter"/>
      <w:lvlText w:val="%2."/>
      <w:lvlJc w:val="left"/>
      <w:pPr>
        <w:ind w:left="1884" w:hanging="360"/>
      </w:pPr>
    </w:lvl>
    <w:lvl w:ilvl="2" w:tplc="0409001B" w:tentative="1">
      <w:start w:val="1"/>
      <w:numFmt w:val="lowerRoman"/>
      <w:lvlText w:val="%3."/>
      <w:lvlJc w:val="right"/>
      <w:pPr>
        <w:ind w:left="2604" w:hanging="180"/>
      </w:pPr>
    </w:lvl>
    <w:lvl w:ilvl="3" w:tplc="0409000F" w:tentative="1">
      <w:start w:val="1"/>
      <w:numFmt w:val="decimal"/>
      <w:lvlText w:val="%4."/>
      <w:lvlJc w:val="left"/>
      <w:pPr>
        <w:ind w:left="3324" w:hanging="360"/>
      </w:pPr>
    </w:lvl>
    <w:lvl w:ilvl="4" w:tplc="04090019" w:tentative="1">
      <w:start w:val="1"/>
      <w:numFmt w:val="lowerLetter"/>
      <w:lvlText w:val="%5."/>
      <w:lvlJc w:val="left"/>
      <w:pPr>
        <w:ind w:left="4044" w:hanging="360"/>
      </w:pPr>
    </w:lvl>
    <w:lvl w:ilvl="5" w:tplc="0409001B" w:tentative="1">
      <w:start w:val="1"/>
      <w:numFmt w:val="lowerRoman"/>
      <w:lvlText w:val="%6."/>
      <w:lvlJc w:val="right"/>
      <w:pPr>
        <w:ind w:left="4764" w:hanging="180"/>
      </w:pPr>
    </w:lvl>
    <w:lvl w:ilvl="6" w:tplc="0409000F" w:tentative="1">
      <w:start w:val="1"/>
      <w:numFmt w:val="decimal"/>
      <w:lvlText w:val="%7."/>
      <w:lvlJc w:val="left"/>
      <w:pPr>
        <w:ind w:left="5484" w:hanging="360"/>
      </w:pPr>
    </w:lvl>
    <w:lvl w:ilvl="7" w:tplc="04090019" w:tentative="1">
      <w:start w:val="1"/>
      <w:numFmt w:val="lowerLetter"/>
      <w:lvlText w:val="%8."/>
      <w:lvlJc w:val="left"/>
      <w:pPr>
        <w:ind w:left="6204" w:hanging="360"/>
      </w:pPr>
    </w:lvl>
    <w:lvl w:ilvl="8" w:tplc="0409001B" w:tentative="1">
      <w:start w:val="1"/>
      <w:numFmt w:val="lowerRoman"/>
      <w:lvlText w:val="%9."/>
      <w:lvlJc w:val="right"/>
      <w:pPr>
        <w:ind w:left="6924" w:hanging="180"/>
      </w:pPr>
    </w:lvl>
  </w:abstractNum>
  <w:abstractNum w:abstractNumId="1">
    <w:nsid w:val="06547815"/>
    <w:multiLevelType w:val="multilevel"/>
    <w:tmpl w:val="29620952"/>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
    <w:nsid w:val="0B671FC5"/>
    <w:multiLevelType w:val="hybridMultilevel"/>
    <w:tmpl w:val="DB0A97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C5860"/>
    <w:multiLevelType w:val="hybridMultilevel"/>
    <w:tmpl w:val="237232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6F056A"/>
    <w:multiLevelType w:val="hybridMultilevel"/>
    <w:tmpl w:val="F9560ACE"/>
    <w:lvl w:ilvl="0" w:tplc="E486A582">
      <w:start w:val="1"/>
      <w:numFmt w:val="decimal"/>
      <w:lvlText w:val="%1."/>
      <w:lvlJc w:val="left"/>
      <w:pPr>
        <w:ind w:left="81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657E85"/>
    <w:multiLevelType w:val="hybridMultilevel"/>
    <w:tmpl w:val="5EC66B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0110C"/>
    <w:multiLevelType w:val="hybridMultilevel"/>
    <w:tmpl w:val="695ED4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7267CB"/>
    <w:multiLevelType w:val="hybridMultilevel"/>
    <w:tmpl w:val="4192D14C"/>
    <w:lvl w:ilvl="0" w:tplc="0409001B">
      <w:start w:val="1"/>
      <w:numFmt w:val="lowerRoman"/>
      <w:lvlText w:val="%1."/>
      <w:lvlJc w:val="righ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8">
    <w:nsid w:val="199F1102"/>
    <w:multiLevelType w:val="hybridMultilevel"/>
    <w:tmpl w:val="710C33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555A93"/>
    <w:multiLevelType w:val="hybridMultilevel"/>
    <w:tmpl w:val="F7BA6398"/>
    <w:lvl w:ilvl="0" w:tplc="DAB013CA">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0">
    <w:nsid w:val="1C0E08A7"/>
    <w:multiLevelType w:val="hybridMultilevel"/>
    <w:tmpl w:val="1B669D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7F6846"/>
    <w:multiLevelType w:val="multilevel"/>
    <w:tmpl w:val="03869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5E58B2"/>
    <w:multiLevelType w:val="hybridMultilevel"/>
    <w:tmpl w:val="CC209406"/>
    <w:lvl w:ilvl="0" w:tplc="3A52A47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80198F"/>
    <w:multiLevelType w:val="hybridMultilevel"/>
    <w:tmpl w:val="6A48CEF2"/>
    <w:lvl w:ilvl="0" w:tplc="3A52A47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FB74BE"/>
    <w:multiLevelType w:val="multilevel"/>
    <w:tmpl w:val="FC1C857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5">
    <w:nsid w:val="26FC58C2"/>
    <w:multiLevelType w:val="hybridMultilevel"/>
    <w:tmpl w:val="9BAA32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596F60"/>
    <w:multiLevelType w:val="hybridMultilevel"/>
    <w:tmpl w:val="254C2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DBB0FD9"/>
    <w:multiLevelType w:val="hybridMultilevel"/>
    <w:tmpl w:val="6BE800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2A1D51"/>
    <w:multiLevelType w:val="multilevel"/>
    <w:tmpl w:val="C936B8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38C4AF9"/>
    <w:multiLevelType w:val="hybridMultilevel"/>
    <w:tmpl w:val="FDDED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3C2179"/>
    <w:multiLevelType w:val="hybridMultilevel"/>
    <w:tmpl w:val="ADAC2C90"/>
    <w:lvl w:ilvl="0" w:tplc="3A52A47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9855548"/>
    <w:multiLevelType w:val="hybridMultilevel"/>
    <w:tmpl w:val="D2A6D11E"/>
    <w:lvl w:ilvl="0" w:tplc="3A52A47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C1A5F31"/>
    <w:multiLevelType w:val="multilevel"/>
    <w:tmpl w:val="3488D0B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left" w:pos="1440"/>
          <w:tab w:val="num" w:pos="2268"/>
        </w:tabs>
        <w:ind w:left="2268" w:hanging="360"/>
      </w:pPr>
      <w:rPr>
        <w:rFonts w:ascii="Courier New" w:hAnsi="Courier New" w:cs="Courier New" w:hint="default"/>
        <w:sz w:val="20"/>
        <w:szCs w:val="20"/>
      </w:rPr>
    </w:lvl>
    <w:lvl w:ilvl="2">
      <w:start w:val="1"/>
      <w:numFmt w:val="bullet"/>
      <w:lvlText w:val=""/>
      <w:lvlJc w:val="left"/>
      <w:pPr>
        <w:tabs>
          <w:tab w:val="num" w:pos="2160"/>
        </w:tabs>
        <w:ind w:left="2988" w:hanging="360"/>
      </w:pPr>
      <w:rPr>
        <w:rFonts w:ascii="Wingdings" w:hAnsi="Wingdings" w:hint="default"/>
        <w:sz w:val="20"/>
        <w:szCs w:val="20"/>
      </w:rPr>
    </w:lvl>
    <w:lvl w:ilvl="3">
      <w:start w:val="1"/>
      <w:numFmt w:val="bullet"/>
      <w:lvlText w:val=""/>
      <w:lvlJc w:val="left"/>
      <w:pPr>
        <w:tabs>
          <w:tab w:val="left" w:pos="2880"/>
          <w:tab w:val="num" w:pos="3708"/>
        </w:tabs>
        <w:ind w:left="3708" w:hanging="360"/>
      </w:pPr>
      <w:rPr>
        <w:rFonts w:ascii="Wingdings" w:hAnsi="Wingdings" w:hint="default"/>
        <w:sz w:val="20"/>
        <w:szCs w:val="20"/>
      </w:rPr>
    </w:lvl>
    <w:lvl w:ilvl="4">
      <w:start w:val="1"/>
      <w:numFmt w:val="bullet"/>
      <w:lvlText w:val=""/>
      <w:lvlJc w:val="left"/>
      <w:pPr>
        <w:tabs>
          <w:tab w:val="num" w:pos="3600"/>
        </w:tabs>
        <w:ind w:left="4428"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left" w:pos="5040"/>
          <w:tab w:val="num" w:pos="5868"/>
        </w:tabs>
        <w:ind w:left="5868" w:hanging="360"/>
      </w:pPr>
      <w:rPr>
        <w:rFonts w:ascii="Wingdings" w:hAnsi="Wingdings" w:hint="default"/>
        <w:sz w:val="20"/>
        <w:szCs w:val="20"/>
      </w:rPr>
    </w:lvl>
    <w:lvl w:ilvl="7">
      <w:start w:val="1"/>
      <w:numFmt w:val="bullet"/>
      <w:lvlText w:val=""/>
      <w:lvlJc w:val="left"/>
      <w:pPr>
        <w:tabs>
          <w:tab w:val="left" w:pos="5760"/>
          <w:tab w:val="num" w:pos="6588"/>
        </w:tabs>
        <w:ind w:left="6588" w:hanging="360"/>
      </w:pPr>
      <w:rPr>
        <w:rFonts w:ascii="Wingdings" w:hAnsi="Wingdings" w:hint="default"/>
        <w:sz w:val="20"/>
        <w:szCs w:val="20"/>
      </w:rPr>
    </w:lvl>
    <w:lvl w:ilvl="8">
      <w:start w:val="1"/>
      <w:numFmt w:val="bullet"/>
      <w:lvlText w:val=""/>
      <w:lvlJc w:val="left"/>
      <w:pPr>
        <w:tabs>
          <w:tab w:val="left" w:pos="6480"/>
          <w:tab w:val="num" w:pos="7308"/>
        </w:tabs>
        <w:ind w:left="7308" w:hanging="360"/>
      </w:pPr>
      <w:rPr>
        <w:rFonts w:ascii="Wingdings" w:hAnsi="Wingdings" w:hint="default"/>
        <w:sz w:val="20"/>
        <w:szCs w:val="20"/>
      </w:rPr>
    </w:lvl>
  </w:abstractNum>
  <w:abstractNum w:abstractNumId="23">
    <w:nsid w:val="408B6380"/>
    <w:multiLevelType w:val="hybridMultilevel"/>
    <w:tmpl w:val="EB00F472"/>
    <w:lvl w:ilvl="0" w:tplc="04090017">
      <w:start w:val="1"/>
      <w:numFmt w:val="lowerLetter"/>
      <w:lvlText w:val="%1)"/>
      <w:lvlJc w:val="left"/>
      <w:pPr>
        <w:ind w:left="928"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4">
    <w:nsid w:val="4AB30AFF"/>
    <w:multiLevelType w:val="hybridMultilevel"/>
    <w:tmpl w:val="CBE492BC"/>
    <w:lvl w:ilvl="0" w:tplc="F180797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ABE0E85"/>
    <w:multiLevelType w:val="hybridMultilevel"/>
    <w:tmpl w:val="2B40A270"/>
    <w:lvl w:ilvl="0" w:tplc="1D5496E4">
      <w:start w:val="6"/>
      <w:numFmt w:val="bullet"/>
      <w:lvlText w:val="•"/>
      <w:lvlJc w:val="left"/>
      <w:pPr>
        <w:ind w:left="2160" w:hanging="380"/>
      </w:pPr>
      <w:rPr>
        <w:rFonts w:ascii="Rockwell" w:eastAsia="Times New Roman" w:hAnsi="Rockwell" w:cs="Times New Roman" w:hint="default"/>
      </w:rPr>
    </w:lvl>
    <w:lvl w:ilvl="1" w:tplc="04090003" w:tentative="1">
      <w:start w:val="1"/>
      <w:numFmt w:val="bullet"/>
      <w:lvlText w:val="o"/>
      <w:lvlJc w:val="left"/>
      <w:pPr>
        <w:ind w:left="2860" w:hanging="360"/>
      </w:pPr>
      <w:rPr>
        <w:rFonts w:ascii="Courier New" w:hAnsi="Courier New" w:cs="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26">
    <w:nsid w:val="4E21096A"/>
    <w:multiLevelType w:val="hybridMultilevel"/>
    <w:tmpl w:val="C534E0F0"/>
    <w:lvl w:ilvl="0" w:tplc="E03265FA">
      <w:start w:val="1"/>
      <w:numFmt w:val="low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F275413"/>
    <w:multiLevelType w:val="multilevel"/>
    <w:tmpl w:val="53A2FCF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nsid w:val="506B5DCA"/>
    <w:multiLevelType w:val="hybridMultilevel"/>
    <w:tmpl w:val="F030F010"/>
    <w:lvl w:ilvl="0" w:tplc="3A52A47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07A22F2"/>
    <w:multiLevelType w:val="hybridMultilevel"/>
    <w:tmpl w:val="ADF2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2F38B9"/>
    <w:multiLevelType w:val="hybridMultilevel"/>
    <w:tmpl w:val="5B6CB652"/>
    <w:lvl w:ilvl="0" w:tplc="C77A3BB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1">
    <w:nsid w:val="54267396"/>
    <w:multiLevelType w:val="multilevel"/>
    <w:tmpl w:val="32E87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nsid w:val="59334FF4"/>
    <w:multiLevelType w:val="hybridMultilevel"/>
    <w:tmpl w:val="20E44D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72228F"/>
    <w:multiLevelType w:val="hybridMultilevel"/>
    <w:tmpl w:val="0652C708"/>
    <w:lvl w:ilvl="0" w:tplc="3A52A47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15D0227"/>
    <w:multiLevelType w:val="multilevel"/>
    <w:tmpl w:val="88D4AADA"/>
    <w:lvl w:ilvl="0">
      <w:start w:val="1"/>
      <w:numFmt w:val="decimal"/>
      <w:lvlText w:val="%1."/>
      <w:lvlJc w:val="left"/>
      <w:pPr>
        <w:ind w:left="855" w:hanging="360"/>
      </w:pPr>
      <w:rPr>
        <w:rFonts w:ascii="Times New Roman" w:hAnsi="Times New Roman" w:cs="Times New Roman"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1215" w:hanging="720"/>
      </w:pPr>
      <w:rPr>
        <w:rFonts w:ascii="Times New Roman" w:hAnsi="Times New Roman" w:cs="Times New Roman" w:hint="default"/>
      </w:rPr>
    </w:lvl>
    <w:lvl w:ilvl="3">
      <w:start w:val="1"/>
      <w:numFmt w:val="decimal"/>
      <w:isLgl/>
      <w:lvlText w:val="%1.%2.%3.%4"/>
      <w:lvlJc w:val="left"/>
      <w:pPr>
        <w:ind w:left="1215" w:hanging="720"/>
      </w:pPr>
      <w:rPr>
        <w:rFonts w:ascii="Times New Roman" w:hAnsi="Times New Roman" w:cs="Times New Roman" w:hint="default"/>
      </w:rPr>
    </w:lvl>
    <w:lvl w:ilvl="4">
      <w:start w:val="1"/>
      <w:numFmt w:val="decimal"/>
      <w:isLgl/>
      <w:lvlText w:val="%1.%2.%3.%4.%5"/>
      <w:lvlJc w:val="left"/>
      <w:pPr>
        <w:ind w:left="1575" w:hanging="1080"/>
      </w:pPr>
      <w:rPr>
        <w:rFonts w:ascii="Times New Roman" w:hAnsi="Times New Roman" w:cs="Times New Roman" w:hint="default"/>
      </w:rPr>
    </w:lvl>
    <w:lvl w:ilvl="5">
      <w:start w:val="1"/>
      <w:numFmt w:val="decimal"/>
      <w:isLgl/>
      <w:lvlText w:val="%1.%2.%3.%4.%5.%6"/>
      <w:lvlJc w:val="left"/>
      <w:pPr>
        <w:ind w:left="1575" w:hanging="1080"/>
      </w:pPr>
      <w:rPr>
        <w:rFonts w:ascii="Times New Roman" w:hAnsi="Times New Roman" w:cs="Times New Roman" w:hint="default"/>
      </w:rPr>
    </w:lvl>
    <w:lvl w:ilvl="6">
      <w:start w:val="1"/>
      <w:numFmt w:val="decimal"/>
      <w:isLgl/>
      <w:lvlText w:val="%1.%2.%3.%4.%5.%6.%7"/>
      <w:lvlJc w:val="left"/>
      <w:pPr>
        <w:ind w:left="1935" w:hanging="1440"/>
      </w:pPr>
      <w:rPr>
        <w:rFonts w:ascii="Times New Roman" w:hAnsi="Times New Roman" w:cs="Times New Roman" w:hint="default"/>
      </w:rPr>
    </w:lvl>
    <w:lvl w:ilvl="7">
      <w:start w:val="1"/>
      <w:numFmt w:val="decimal"/>
      <w:isLgl/>
      <w:lvlText w:val="%1.%2.%3.%4.%5.%6.%7.%8"/>
      <w:lvlJc w:val="left"/>
      <w:pPr>
        <w:ind w:left="1935" w:hanging="1440"/>
      </w:pPr>
      <w:rPr>
        <w:rFonts w:ascii="Times New Roman" w:hAnsi="Times New Roman" w:cs="Times New Roman" w:hint="default"/>
      </w:rPr>
    </w:lvl>
    <w:lvl w:ilvl="8">
      <w:start w:val="1"/>
      <w:numFmt w:val="decimal"/>
      <w:isLgl/>
      <w:lvlText w:val="%1.%2.%3.%4.%5.%6.%7.%8.%9"/>
      <w:lvlJc w:val="left"/>
      <w:pPr>
        <w:ind w:left="1935" w:hanging="1440"/>
      </w:pPr>
      <w:rPr>
        <w:rFonts w:ascii="Times New Roman" w:hAnsi="Times New Roman" w:cs="Times New Roman" w:hint="default"/>
      </w:rPr>
    </w:lvl>
  </w:abstractNum>
  <w:abstractNum w:abstractNumId="35">
    <w:nsid w:val="64611CCF"/>
    <w:multiLevelType w:val="hybridMultilevel"/>
    <w:tmpl w:val="C534E0F0"/>
    <w:lvl w:ilvl="0" w:tplc="E03265FA">
      <w:start w:val="1"/>
      <w:numFmt w:val="low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4BF5060"/>
    <w:multiLevelType w:val="hybridMultilevel"/>
    <w:tmpl w:val="760289C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7422E56"/>
    <w:multiLevelType w:val="hybridMultilevel"/>
    <w:tmpl w:val="F030F010"/>
    <w:lvl w:ilvl="0" w:tplc="3A52A47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98F6131"/>
    <w:multiLevelType w:val="hybridMultilevel"/>
    <w:tmpl w:val="D2EC4594"/>
    <w:lvl w:ilvl="0" w:tplc="04090001">
      <w:start w:val="1"/>
      <w:numFmt w:val="bullet"/>
      <w:lvlText w:val=""/>
      <w:lvlJc w:val="left"/>
      <w:pPr>
        <w:ind w:left="2500" w:hanging="360"/>
      </w:pPr>
      <w:rPr>
        <w:rFonts w:ascii="Symbol" w:hAnsi="Symbol" w:hint="default"/>
      </w:rPr>
    </w:lvl>
    <w:lvl w:ilvl="1" w:tplc="04090003" w:tentative="1">
      <w:start w:val="1"/>
      <w:numFmt w:val="bullet"/>
      <w:lvlText w:val="o"/>
      <w:lvlJc w:val="left"/>
      <w:pPr>
        <w:ind w:left="3220" w:hanging="360"/>
      </w:pPr>
      <w:rPr>
        <w:rFonts w:ascii="Courier New" w:hAnsi="Courier New" w:cs="Courier New" w:hint="default"/>
      </w:rPr>
    </w:lvl>
    <w:lvl w:ilvl="2" w:tplc="04090005" w:tentative="1">
      <w:start w:val="1"/>
      <w:numFmt w:val="bullet"/>
      <w:lvlText w:val=""/>
      <w:lvlJc w:val="left"/>
      <w:pPr>
        <w:ind w:left="3940" w:hanging="360"/>
      </w:pPr>
      <w:rPr>
        <w:rFonts w:ascii="Wingdings" w:hAnsi="Wingdings" w:hint="default"/>
      </w:rPr>
    </w:lvl>
    <w:lvl w:ilvl="3" w:tplc="04090001" w:tentative="1">
      <w:start w:val="1"/>
      <w:numFmt w:val="bullet"/>
      <w:lvlText w:val=""/>
      <w:lvlJc w:val="left"/>
      <w:pPr>
        <w:ind w:left="4660" w:hanging="360"/>
      </w:pPr>
      <w:rPr>
        <w:rFonts w:ascii="Symbol" w:hAnsi="Symbol" w:hint="default"/>
      </w:rPr>
    </w:lvl>
    <w:lvl w:ilvl="4" w:tplc="04090003" w:tentative="1">
      <w:start w:val="1"/>
      <w:numFmt w:val="bullet"/>
      <w:lvlText w:val="o"/>
      <w:lvlJc w:val="left"/>
      <w:pPr>
        <w:ind w:left="5380" w:hanging="360"/>
      </w:pPr>
      <w:rPr>
        <w:rFonts w:ascii="Courier New" w:hAnsi="Courier New" w:cs="Courier New" w:hint="default"/>
      </w:rPr>
    </w:lvl>
    <w:lvl w:ilvl="5" w:tplc="04090005" w:tentative="1">
      <w:start w:val="1"/>
      <w:numFmt w:val="bullet"/>
      <w:lvlText w:val=""/>
      <w:lvlJc w:val="left"/>
      <w:pPr>
        <w:ind w:left="6100" w:hanging="360"/>
      </w:pPr>
      <w:rPr>
        <w:rFonts w:ascii="Wingdings" w:hAnsi="Wingdings" w:hint="default"/>
      </w:rPr>
    </w:lvl>
    <w:lvl w:ilvl="6" w:tplc="04090001" w:tentative="1">
      <w:start w:val="1"/>
      <w:numFmt w:val="bullet"/>
      <w:lvlText w:val=""/>
      <w:lvlJc w:val="left"/>
      <w:pPr>
        <w:ind w:left="6820" w:hanging="360"/>
      </w:pPr>
      <w:rPr>
        <w:rFonts w:ascii="Symbol" w:hAnsi="Symbol" w:hint="default"/>
      </w:rPr>
    </w:lvl>
    <w:lvl w:ilvl="7" w:tplc="04090003" w:tentative="1">
      <w:start w:val="1"/>
      <w:numFmt w:val="bullet"/>
      <w:lvlText w:val="o"/>
      <w:lvlJc w:val="left"/>
      <w:pPr>
        <w:ind w:left="7540" w:hanging="360"/>
      </w:pPr>
      <w:rPr>
        <w:rFonts w:ascii="Courier New" w:hAnsi="Courier New" w:cs="Courier New" w:hint="default"/>
      </w:rPr>
    </w:lvl>
    <w:lvl w:ilvl="8" w:tplc="04090005" w:tentative="1">
      <w:start w:val="1"/>
      <w:numFmt w:val="bullet"/>
      <w:lvlText w:val=""/>
      <w:lvlJc w:val="left"/>
      <w:pPr>
        <w:ind w:left="8260" w:hanging="360"/>
      </w:pPr>
      <w:rPr>
        <w:rFonts w:ascii="Wingdings" w:hAnsi="Wingdings" w:hint="default"/>
      </w:rPr>
    </w:lvl>
  </w:abstractNum>
  <w:abstractNum w:abstractNumId="39">
    <w:nsid w:val="6A0512A2"/>
    <w:multiLevelType w:val="hybridMultilevel"/>
    <w:tmpl w:val="3626A89C"/>
    <w:lvl w:ilvl="0" w:tplc="50E27EE8">
      <w:start w:val="1"/>
      <w:numFmt w:val="lowerLetter"/>
      <w:lvlText w:val="(%1)"/>
      <w:lvlJc w:val="left"/>
      <w:pPr>
        <w:ind w:left="1380" w:hanging="360"/>
      </w:pPr>
      <w:rPr>
        <w:rFonts w:ascii="Times New Roman" w:eastAsia="Times New Roman" w:hAnsi="Times New Roman" w:cs="Times New Roman" w:hint="default"/>
      </w:rPr>
    </w:lvl>
    <w:lvl w:ilvl="1" w:tplc="20000019" w:tentative="1">
      <w:start w:val="1"/>
      <w:numFmt w:val="lowerLetter"/>
      <w:lvlText w:val="%2."/>
      <w:lvlJc w:val="left"/>
      <w:pPr>
        <w:ind w:left="2100" w:hanging="360"/>
      </w:pPr>
    </w:lvl>
    <w:lvl w:ilvl="2" w:tplc="2000001B" w:tentative="1">
      <w:start w:val="1"/>
      <w:numFmt w:val="lowerRoman"/>
      <w:lvlText w:val="%3."/>
      <w:lvlJc w:val="right"/>
      <w:pPr>
        <w:ind w:left="2820" w:hanging="180"/>
      </w:pPr>
    </w:lvl>
    <w:lvl w:ilvl="3" w:tplc="2000000F" w:tentative="1">
      <w:start w:val="1"/>
      <w:numFmt w:val="decimal"/>
      <w:lvlText w:val="%4."/>
      <w:lvlJc w:val="left"/>
      <w:pPr>
        <w:ind w:left="3540" w:hanging="360"/>
      </w:pPr>
    </w:lvl>
    <w:lvl w:ilvl="4" w:tplc="20000019" w:tentative="1">
      <w:start w:val="1"/>
      <w:numFmt w:val="lowerLetter"/>
      <w:lvlText w:val="%5."/>
      <w:lvlJc w:val="left"/>
      <w:pPr>
        <w:ind w:left="4260" w:hanging="360"/>
      </w:pPr>
    </w:lvl>
    <w:lvl w:ilvl="5" w:tplc="2000001B" w:tentative="1">
      <w:start w:val="1"/>
      <w:numFmt w:val="lowerRoman"/>
      <w:lvlText w:val="%6."/>
      <w:lvlJc w:val="right"/>
      <w:pPr>
        <w:ind w:left="4980" w:hanging="180"/>
      </w:pPr>
    </w:lvl>
    <w:lvl w:ilvl="6" w:tplc="2000000F" w:tentative="1">
      <w:start w:val="1"/>
      <w:numFmt w:val="decimal"/>
      <w:lvlText w:val="%7."/>
      <w:lvlJc w:val="left"/>
      <w:pPr>
        <w:ind w:left="5700" w:hanging="360"/>
      </w:pPr>
    </w:lvl>
    <w:lvl w:ilvl="7" w:tplc="20000019" w:tentative="1">
      <w:start w:val="1"/>
      <w:numFmt w:val="lowerLetter"/>
      <w:lvlText w:val="%8."/>
      <w:lvlJc w:val="left"/>
      <w:pPr>
        <w:ind w:left="6420" w:hanging="360"/>
      </w:pPr>
    </w:lvl>
    <w:lvl w:ilvl="8" w:tplc="2000001B" w:tentative="1">
      <w:start w:val="1"/>
      <w:numFmt w:val="lowerRoman"/>
      <w:lvlText w:val="%9."/>
      <w:lvlJc w:val="right"/>
      <w:pPr>
        <w:ind w:left="7140" w:hanging="180"/>
      </w:pPr>
    </w:lvl>
  </w:abstractNum>
  <w:abstractNum w:abstractNumId="40">
    <w:nsid w:val="6BC36634"/>
    <w:multiLevelType w:val="hybridMultilevel"/>
    <w:tmpl w:val="530EB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60645E"/>
    <w:multiLevelType w:val="multilevel"/>
    <w:tmpl w:val="8390D0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nsid w:val="70647E25"/>
    <w:multiLevelType w:val="hybridMultilevel"/>
    <w:tmpl w:val="237232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3129A2"/>
    <w:multiLevelType w:val="hybridMultilevel"/>
    <w:tmpl w:val="F030F010"/>
    <w:lvl w:ilvl="0" w:tplc="3A52A47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7320098"/>
    <w:multiLevelType w:val="multilevel"/>
    <w:tmpl w:val="F030FEF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45">
    <w:nsid w:val="79FB61D3"/>
    <w:multiLevelType w:val="multilevel"/>
    <w:tmpl w:val="3AF8C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7FA6492C"/>
    <w:multiLevelType w:val="hybridMultilevel"/>
    <w:tmpl w:val="B09CD5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7"/>
  </w:num>
  <w:num w:numId="3">
    <w:abstractNumId w:val="41"/>
  </w:num>
  <w:num w:numId="4">
    <w:abstractNumId w:val="16"/>
  </w:num>
  <w:num w:numId="5">
    <w:abstractNumId w:val="43"/>
  </w:num>
  <w:num w:numId="6">
    <w:abstractNumId w:val="20"/>
  </w:num>
  <w:num w:numId="7">
    <w:abstractNumId w:val="38"/>
  </w:num>
  <w:num w:numId="8">
    <w:abstractNumId w:val="25"/>
  </w:num>
  <w:num w:numId="9">
    <w:abstractNumId w:val="10"/>
  </w:num>
  <w:num w:numId="10">
    <w:abstractNumId w:val="8"/>
  </w:num>
  <w:num w:numId="11">
    <w:abstractNumId w:val="17"/>
  </w:num>
  <w:num w:numId="12">
    <w:abstractNumId w:val="4"/>
  </w:num>
  <w:num w:numId="13">
    <w:abstractNumId w:val="30"/>
  </w:num>
  <w:num w:numId="14">
    <w:abstractNumId w:val="32"/>
  </w:num>
  <w:num w:numId="15">
    <w:abstractNumId w:val="0"/>
  </w:num>
  <w:num w:numId="16">
    <w:abstractNumId w:val="46"/>
  </w:num>
  <w:num w:numId="17">
    <w:abstractNumId w:val="39"/>
  </w:num>
  <w:num w:numId="18">
    <w:abstractNumId w:val="15"/>
  </w:num>
  <w:num w:numId="19">
    <w:abstractNumId w:val="9"/>
  </w:num>
  <w:num w:numId="20">
    <w:abstractNumId w:val="2"/>
  </w:num>
  <w:num w:numId="21">
    <w:abstractNumId w:val="19"/>
  </w:num>
  <w:num w:numId="22">
    <w:abstractNumId w:val="29"/>
  </w:num>
  <w:num w:numId="23">
    <w:abstractNumId w:val="45"/>
  </w:num>
  <w:num w:numId="24">
    <w:abstractNumId w:val="6"/>
  </w:num>
  <w:num w:numId="25">
    <w:abstractNumId w:val="23"/>
  </w:num>
  <w:num w:numId="26">
    <w:abstractNumId w:val="40"/>
  </w:num>
  <w:num w:numId="27">
    <w:abstractNumId w:val="28"/>
  </w:num>
  <w:num w:numId="28">
    <w:abstractNumId w:val="37"/>
  </w:num>
  <w:num w:numId="29">
    <w:abstractNumId w:val="24"/>
  </w:num>
  <w:num w:numId="30">
    <w:abstractNumId w:val="36"/>
  </w:num>
  <w:num w:numId="31">
    <w:abstractNumId w:val="14"/>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2"/>
  </w:num>
  <w:num w:numId="35">
    <w:abstractNumId w:val="1"/>
  </w:num>
  <w:num w:numId="36">
    <w:abstractNumId w:val="26"/>
  </w:num>
  <w:num w:numId="37">
    <w:abstractNumId w:val="42"/>
  </w:num>
  <w:num w:numId="38">
    <w:abstractNumId w:val="5"/>
  </w:num>
  <w:num w:numId="39">
    <w:abstractNumId w:val="7"/>
  </w:num>
  <w:num w:numId="40">
    <w:abstractNumId w:val="11"/>
  </w:num>
  <w:num w:numId="41">
    <w:abstractNumId w:val="3"/>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12"/>
  </w:num>
  <w:num w:numId="45">
    <w:abstractNumId w:val="33"/>
  </w:num>
  <w:num w:numId="46">
    <w:abstractNumId w:val="13"/>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2F2"/>
    <w:rsid w:val="0000575C"/>
    <w:rsid w:val="00031D04"/>
    <w:rsid w:val="00032D9B"/>
    <w:rsid w:val="000372EE"/>
    <w:rsid w:val="0008320D"/>
    <w:rsid w:val="000945C9"/>
    <w:rsid w:val="000A1621"/>
    <w:rsid w:val="000A38F4"/>
    <w:rsid w:val="000A511C"/>
    <w:rsid w:val="000B7A2F"/>
    <w:rsid w:val="000E7DFC"/>
    <w:rsid w:val="00106C88"/>
    <w:rsid w:val="00117089"/>
    <w:rsid w:val="001453FB"/>
    <w:rsid w:val="00152F6C"/>
    <w:rsid w:val="00156FEA"/>
    <w:rsid w:val="00163CD9"/>
    <w:rsid w:val="001A28F3"/>
    <w:rsid w:val="001D725C"/>
    <w:rsid w:val="001F5B1E"/>
    <w:rsid w:val="001F6A85"/>
    <w:rsid w:val="002012E8"/>
    <w:rsid w:val="00212A2C"/>
    <w:rsid w:val="00222855"/>
    <w:rsid w:val="00242C55"/>
    <w:rsid w:val="00243ED1"/>
    <w:rsid w:val="00254997"/>
    <w:rsid w:val="002B72BE"/>
    <w:rsid w:val="002D61B0"/>
    <w:rsid w:val="002E4F40"/>
    <w:rsid w:val="002F3767"/>
    <w:rsid w:val="0030457E"/>
    <w:rsid w:val="00307FD3"/>
    <w:rsid w:val="00310872"/>
    <w:rsid w:val="00325A9B"/>
    <w:rsid w:val="00336533"/>
    <w:rsid w:val="00341567"/>
    <w:rsid w:val="00345D8F"/>
    <w:rsid w:val="003501B1"/>
    <w:rsid w:val="003655AA"/>
    <w:rsid w:val="0038003B"/>
    <w:rsid w:val="00384ABC"/>
    <w:rsid w:val="003A5554"/>
    <w:rsid w:val="003B55D8"/>
    <w:rsid w:val="003C2141"/>
    <w:rsid w:val="003D42BE"/>
    <w:rsid w:val="003D6E2E"/>
    <w:rsid w:val="003E0532"/>
    <w:rsid w:val="003E32E0"/>
    <w:rsid w:val="003E5633"/>
    <w:rsid w:val="00402470"/>
    <w:rsid w:val="0041581C"/>
    <w:rsid w:val="00420839"/>
    <w:rsid w:val="00434583"/>
    <w:rsid w:val="00447D9A"/>
    <w:rsid w:val="004520FD"/>
    <w:rsid w:val="004601FB"/>
    <w:rsid w:val="00472505"/>
    <w:rsid w:val="004A76D7"/>
    <w:rsid w:val="004B6E66"/>
    <w:rsid w:val="004F0650"/>
    <w:rsid w:val="004F1FA6"/>
    <w:rsid w:val="00553449"/>
    <w:rsid w:val="0056182D"/>
    <w:rsid w:val="00575A84"/>
    <w:rsid w:val="00595BCA"/>
    <w:rsid w:val="005A6D43"/>
    <w:rsid w:val="005B0F2A"/>
    <w:rsid w:val="005B615C"/>
    <w:rsid w:val="005D5F94"/>
    <w:rsid w:val="005E37E3"/>
    <w:rsid w:val="005E3BEC"/>
    <w:rsid w:val="005F2761"/>
    <w:rsid w:val="005F2A40"/>
    <w:rsid w:val="005F7DCA"/>
    <w:rsid w:val="006045C4"/>
    <w:rsid w:val="00626AE3"/>
    <w:rsid w:val="006505DB"/>
    <w:rsid w:val="00677239"/>
    <w:rsid w:val="00677881"/>
    <w:rsid w:val="006822F2"/>
    <w:rsid w:val="006921D0"/>
    <w:rsid w:val="006B33C9"/>
    <w:rsid w:val="006C1DB4"/>
    <w:rsid w:val="006C4073"/>
    <w:rsid w:val="006C4A9B"/>
    <w:rsid w:val="006C7AC0"/>
    <w:rsid w:val="006D62E4"/>
    <w:rsid w:val="0070614A"/>
    <w:rsid w:val="00710334"/>
    <w:rsid w:val="007169A8"/>
    <w:rsid w:val="00726D1C"/>
    <w:rsid w:val="00751168"/>
    <w:rsid w:val="00751E2F"/>
    <w:rsid w:val="00757FAB"/>
    <w:rsid w:val="00760836"/>
    <w:rsid w:val="00764C8C"/>
    <w:rsid w:val="00767FB2"/>
    <w:rsid w:val="007831E7"/>
    <w:rsid w:val="00785869"/>
    <w:rsid w:val="007B6181"/>
    <w:rsid w:val="00806D02"/>
    <w:rsid w:val="0080795F"/>
    <w:rsid w:val="00810BA3"/>
    <w:rsid w:val="00815815"/>
    <w:rsid w:val="0083606E"/>
    <w:rsid w:val="00845FF3"/>
    <w:rsid w:val="0085313A"/>
    <w:rsid w:val="00863163"/>
    <w:rsid w:val="00866B62"/>
    <w:rsid w:val="00870C6F"/>
    <w:rsid w:val="00896762"/>
    <w:rsid w:val="008B2B4F"/>
    <w:rsid w:val="008B435F"/>
    <w:rsid w:val="008B6AF9"/>
    <w:rsid w:val="008C6647"/>
    <w:rsid w:val="008E29E3"/>
    <w:rsid w:val="00976C74"/>
    <w:rsid w:val="009841AC"/>
    <w:rsid w:val="009A7433"/>
    <w:rsid w:val="009B4D81"/>
    <w:rsid w:val="009C0E5B"/>
    <w:rsid w:val="00A044E8"/>
    <w:rsid w:val="00A05CE4"/>
    <w:rsid w:val="00A55BD6"/>
    <w:rsid w:val="00A63901"/>
    <w:rsid w:val="00A65DA7"/>
    <w:rsid w:val="00A7024F"/>
    <w:rsid w:val="00A75C0E"/>
    <w:rsid w:val="00A9647A"/>
    <w:rsid w:val="00AD5D8B"/>
    <w:rsid w:val="00AE276F"/>
    <w:rsid w:val="00B0085D"/>
    <w:rsid w:val="00B02EA8"/>
    <w:rsid w:val="00B30A92"/>
    <w:rsid w:val="00B51D82"/>
    <w:rsid w:val="00B636FF"/>
    <w:rsid w:val="00B83909"/>
    <w:rsid w:val="00B93340"/>
    <w:rsid w:val="00BB518F"/>
    <w:rsid w:val="00BE4BD9"/>
    <w:rsid w:val="00C0713F"/>
    <w:rsid w:val="00C11825"/>
    <w:rsid w:val="00C463F8"/>
    <w:rsid w:val="00C53E55"/>
    <w:rsid w:val="00C6328E"/>
    <w:rsid w:val="00C66CD0"/>
    <w:rsid w:val="00C72023"/>
    <w:rsid w:val="00C9153B"/>
    <w:rsid w:val="00C952E3"/>
    <w:rsid w:val="00CA1FFF"/>
    <w:rsid w:val="00CC05A8"/>
    <w:rsid w:val="00CE2077"/>
    <w:rsid w:val="00CE2BE5"/>
    <w:rsid w:val="00D125C9"/>
    <w:rsid w:val="00D12CA1"/>
    <w:rsid w:val="00D233E1"/>
    <w:rsid w:val="00D40664"/>
    <w:rsid w:val="00D43FD2"/>
    <w:rsid w:val="00D46AA7"/>
    <w:rsid w:val="00D47409"/>
    <w:rsid w:val="00D55021"/>
    <w:rsid w:val="00D616AB"/>
    <w:rsid w:val="00D820AA"/>
    <w:rsid w:val="00DC20A7"/>
    <w:rsid w:val="00DC23BE"/>
    <w:rsid w:val="00DD2703"/>
    <w:rsid w:val="00DE3EEA"/>
    <w:rsid w:val="00DF1085"/>
    <w:rsid w:val="00DF2092"/>
    <w:rsid w:val="00E20628"/>
    <w:rsid w:val="00E21CD8"/>
    <w:rsid w:val="00E50222"/>
    <w:rsid w:val="00E54829"/>
    <w:rsid w:val="00E67A87"/>
    <w:rsid w:val="00E92FC3"/>
    <w:rsid w:val="00EC7926"/>
    <w:rsid w:val="00ED134D"/>
    <w:rsid w:val="00ED43EB"/>
    <w:rsid w:val="00EE5C48"/>
    <w:rsid w:val="00EF0C27"/>
    <w:rsid w:val="00EF2C95"/>
    <w:rsid w:val="00EF6E2A"/>
    <w:rsid w:val="00F02F6C"/>
    <w:rsid w:val="00F17C6F"/>
    <w:rsid w:val="00F324A6"/>
    <w:rsid w:val="00F32763"/>
    <w:rsid w:val="00F40FFF"/>
    <w:rsid w:val="00F42D87"/>
    <w:rsid w:val="00F80121"/>
    <w:rsid w:val="00FA0780"/>
    <w:rsid w:val="00FA39A1"/>
    <w:rsid w:val="00FB0549"/>
    <w:rsid w:val="00FB6964"/>
    <w:rsid w:val="00FC435B"/>
    <w:rsid w:val="00FE3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DBE406-5866-45D5-9F0E-FE65020C5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42D87"/>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link w:val="Heading3Char"/>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99"/>
    <w:qFormat/>
    <w:rsid w:val="00AD5D8B"/>
    <w:pPr>
      <w:ind w:left="720"/>
      <w:contextualSpacing/>
    </w:pPr>
  </w:style>
  <w:style w:type="character" w:styleId="Emphasis">
    <w:name w:val="Emphasis"/>
    <w:basedOn w:val="DefaultParagraphFont"/>
    <w:uiPriority w:val="20"/>
    <w:qFormat/>
    <w:rsid w:val="004520FD"/>
    <w:rPr>
      <w:i/>
      <w:iCs/>
    </w:rPr>
  </w:style>
  <w:style w:type="paragraph" w:styleId="NormalWeb">
    <w:name w:val="Normal (Web)"/>
    <w:basedOn w:val="Normal"/>
    <w:uiPriority w:val="99"/>
    <w:semiHidden/>
    <w:unhideWhenUsed/>
    <w:rsid w:val="00ED43E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D43EB"/>
    <w:rPr>
      <w:b/>
      <w:bCs/>
    </w:rPr>
  </w:style>
  <w:style w:type="paragraph" w:styleId="TOCHeading">
    <w:name w:val="TOC Heading"/>
    <w:basedOn w:val="Heading1"/>
    <w:next w:val="Normal"/>
    <w:uiPriority w:val="39"/>
    <w:unhideWhenUsed/>
    <w:qFormat/>
    <w:rsid w:val="0056182D"/>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1453FB"/>
    <w:pPr>
      <w:spacing w:after="100"/>
    </w:pPr>
  </w:style>
  <w:style w:type="paragraph" w:styleId="TOC2">
    <w:name w:val="toc 2"/>
    <w:basedOn w:val="Normal"/>
    <w:next w:val="Normal"/>
    <w:autoRedefine/>
    <w:uiPriority w:val="39"/>
    <w:unhideWhenUsed/>
    <w:rsid w:val="001453FB"/>
    <w:pPr>
      <w:spacing w:after="100"/>
      <w:ind w:left="220"/>
    </w:pPr>
  </w:style>
  <w:style w:type="paragraph" w:styleId="TOC3">
    <w:name w:val="toc 3"/>
    <w:basedOn w:val="Normal"/>
    <w:next w:val="Normal"/>
    <w:autoRedefine/>
    <w:uiPriority w:val="39"/>
    <w:unhideWhenUsed/>
    <w:rsid w:val="001453FB"/>
    <w:pPr>
      <w:spacing w:after="100"/>
      <w:ind w:left="440"/>
    </w:pPr>
  </w:style>
  <w:style w:type="character" w:styleId="Hyperlink">
    <w:name w:val="Hyperlink"/>
    <w:basedOn w:val="DefaultParagraphFont"/>
    <w:uiPriority w:val="99"/>
    <w:unhideWhenUsed/>
    <w:rsid w:val="001453FB"/>
    <w:rPr>
      <w:color w:val="0000FF" w:themeColor="hyperlink"/>
      <w:u w:val="single"/>
    </w:rPr>
  </w:style>
  <w:style w:type="paragraph" w:styleId="Header">
    <w:name w:val="header"/>
    <w:basedOn w:val="Normal"/>
    <w:link w:val="HeaderChar"/>
    <w:uiPriority w:val="99"/>
    <w:unhideWhenUsed/>
    <w:rsid w:val="004A76D7"/>
    <w:pPr>
      <w:tabs>
        <w:tab w:val="center" w:pos="4680"/>
        <w:tab w:val="right" w:pos="9360"/>
      </w:tabs>
      <w:spacing w:line="240" w:lineRule="auto"/>
    </w:pPr>
  </w:style>
  <w:style w:type="character" w:customStyle="1" w:styleId="HeaderChar">
    <w:name w:val="Header Char"/>
    <w:basedOn w:val="DefaultParagraphFont"/>
    <w:link w:val="Header"/>
    <w:uiPriority w:val="99"/>
    <w:rsid w:val="004A76D7"/>
  </w:style>
  <w:style w:type="paragraph" w:styleId="Footer">
    <w:name w:val="footer"/>
    <w:basedOn w:val="Normal"/>
    <w:link w:val="FooterChar"/>
    <w:uiPriority w:val="99"/>
    <w:unhideWhenUsed/>
    <w:rsid w:val="004A76D7"/>
    <w:pPr>
      <w:tabs>
        <w:tab w:val="center" w:pos="4680"/>
        <w:tab w:val="right" w:pos="9360"/>
      </w:tabs>
      <w:spacing w:line="240" w:lineRule="auto"/>
    </w:pPr>
  </w:style>
  <w:style w:type="character" w:customStyle="1" w:styleId="FooterChar">
    <w:name w:val="Footer Char"/>
    <w:basedOn w:val="DefaultParagraphFont"/>
    <w:link w:val="Footer"/>
    <w:uiPriority w:val="99"/>
    <w:rsid w:val="004A76D7"/>
  </w:style>
  <w:style w:type="paragraph" w:customStyle="1" w:styleId="Default">
    <w:name w:val="Default"/>
    <w:rsid w:val="00B30A92"/>
    <w:pPr>
      <w:autoSpaceDE w:val="0"/>
      <w:autoSpaceDN w:val="0"/>
      <w:adjustRightInd w:val="0"/>
      <w:spacing w:line="240" w:lineRule="auto"/>
    </w:pPr>
    <w:rPr>
      <w:rFonts w:ascii="Times New Roman" w:eastAsia="Calibri" w:hAnsi="Times New Roman" w:cs="Times New Roman"/>
      <w:color w:val="000000"/>
      <w:sz w:val="24"/>
      <w:szCs w:val="24"/>
      <w:lang w:val="en-US"/>
    </w:rPr>
  </w:style>
  <w:style w:type="character" w:styleId="CommentReference">
    <w:name w:val="annotation reference"/>
    <w:uiPriority w:val="99"/>
    <w:semiHidden/>
    <w:unhideWhenUsed/>
    <w:rsid w:val="00345D8F"/>
    <w:rPr>
      <w:sz w:val="16"/>
      <w:szCs w:val="16"/>
    </w:rPr>
  </w:style>
  <w:style w:type="paragraph" w:styleId="CommentText">
    <w:name w:val="annotation text"/>
    <w:basedOn w:val="Normal"/>
    <w:link w:val="CommentTextChar"/>
    <w:uiPriority w:val="99"/>
    <w:semiHidden/>
    <w:unhideWhenUsed/>
    <w:rsid w:val="00345D8F"/>
    <w:pPr>
      <w:spacing w:line="240" w:lineRule="auto"/>
    </w:pPr>
    <w:rPr>
      <w:rFonts w:ascii="Calibri" w:eastAsia="Calibri" w:hAnsi="Calibri" w:cs="Times New Roman"/>
      <w:kern w:val="2"/>
      <w:sz w:val="20"/>
      <w:szCs w:val="20"/>
    </w:rPr>
  </w:style>
  <w:style w:type="character" w:customStyle="1" w:styleId="CommentTextChar">
    <w:name w:val="Comment Text Char"/>
    <w:basedOn w:val="DefaultParagraphFont"/>
    <w:link w:val="CommentText"/>
    <w:uiPriority w:val="99"/>
    <w:semiHidden/>
    <w:rsid w:val="00345D8F"/>
    <w:rPr>
      <w:rFonts w:ascii="Calibri" w:eastAsia="Calibri" w:hAnsi="Calibri" w:cs="Times New Roman"/>
      <w:kern w:val="2"/>
      <w:sz w:val="20"/>
      <w:szCs w:val="20"/>
    </w:rPr>
  </w:style>
  <w:style w:type="paragraph" w:styleId="BalloonText">
    <w:name w:val="Balloon Text"/>
    <w:basedOn w:val="Normal"/>
    <w:link w:val="BalloonTextChar"/>
    <w:uiPriority w:val="99"/>
    <w:semiHidden/>
    <w:unhideWhenUsed/>
    <w:rsid w:val="00345D8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D8F"/>
    <w:rPr>
      <w:rFonts w:ascii="Segoe UI" w:hAnsi="Segoe UI" w:cs="Segoe UI"/>
      <w:sz w:val="18"/>
      <w:szCs w:val="18"/>
    </w:rPr>
  </w:style>
  <w:style w:type="character" w:customStyle="1" w:styleId="ms-1">
    <w:name w:val="ms-1"/>
    <w:basedOn w:val="DefaultParagraphFont"/>
    <w:rsid w:val="00806D02"/>
  </w:style>
  <w:style w:type="character" w:customStyle="1" w:styleId="max-w-15ch">
    <w:name w:val="max-w-[15ch]"/>
    <w:basedOn w:val="DefaultParagraphFont"/>
    <w:rsid w:val="00806D02"/>
  </w:style>
  <w:style w:type="character" w:customStyle="1" w:styleId="-me-1">
    <w:name w:val="-me-1"/>
    <w:basedOn w:val="DefaultParagraphFont"/>
    <w:rsid w:val="00806D02"/>
  </w:style>
  <w:style w:type="character" w:customStyle="1" w:styleId="Heading3Char">
    <w:name w:val="Heading 3 Char"/>
    <w:basedOn w:val="DefaultParagraphFont"/>
    <w:link w:val="Heading3"/>
    <w:rsid w:val="00C66CD0"/>
    <w:rPr>
      <w:color w:val="434343"/>
      <w:sz w:val="28"/>
      <w:szCs w:val="28"/>
    </w:rPr>
  </w:style>
  <w:style w:type="character" w:customStyle="1" w:styleId="15">
    <w:name w:val="15"/>
    <w:basedOn w:val="DefaultParagraphFont"/>
    <w:rsid w:val="003E5633"/>
    <w:rPr>
      <w:rFonts w:ascii="Calibri" w:hAnsi="Calibri" w:cs="Calibr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59327">
      <w:bodyDiv w:val="1"/>
      <w:marLeft w:val="0"/>
      <w:marRight w:val="0"/>
      <w:marTop w:val="0"/>
      <w:marBottom w:val="0"/>
      <w:divBdr>
        <w:top w:val="none" w:sz="0" w:space="0" w:color="auto"/>
        <w:left w:val="none" w:sz="0" w:space="0" w:color="auto"/>
        <w:bottom w:val="none" w:sz="0" w:space="0" w:color="auto"/>
        <w:right w:val="none" w:sz="0" w:space="0" w:color="auto"/>
      </w:divBdr>
    </w:div>
    <w:div w:id="268659023">
      <w:bodyDiv w:val="1"/>
      <w:marLeft w:val="0"/>
      <w:marRight w:val="0"/>
      <w:marTop w:val="0"/>
      <w:marBottom w:val="0"/>
      <w:divBdr>
        <w:top w:val="none" w:sz="0" w:space="0" w:color="auto"/>
        <w:left w:val="none" w:sz="0" w:space="0" w:color="auto"/>
        <w:bottom w:val="none" w:sz="0" w:space="0" w:color="auto"/>
        <w:right w:val="none" w:sz="0" w:space="0" w:color="auto"/>
      </w:divBdr>
    </w:div>
    <w:div w:id="394740783">
      <w:bodyDiv w:val="1"/>
      <w:marLeft w:val="0"/>
      <w:marRight w:val="0"/>
      <w:marTop w:val="0"/>
      <w:marBottom w:val="0"/>
      <w:divBdr>
        <w:top w:val="none" w:sz="0" w:space="0" w:color="auto"/>
        <w:left w:val="none" w:sz="0" w:space="0" w:color="auto"/>
        <w:bottom w:val="none" w:sz="0" w:space="0" w:color="auto"/>
        <w:right w:val="none" w:sz="0" w:space="0" w:color="auto"/>
      </w:divBdr>
    </w:div>
    <w:div w:id="519972011">
      <w:bodyDiv w:val="1"/>
      <w:marLeft w:val="0"/>
      <w:marRight w:val="0"/>
      <w:marTop w:val="0"/>
      <w:marBottom w:val="0"/>
      <w:divBdr>
        <w:top w:val="none" w:sz="0" w:space="0" w:color="auto"/>
        <w:left w:val="none" w:sz="0" w:space="0" w:color="auto"/>
        <w:bottom w:val="none" w:sz="0" w:space="0" w:color="auto"/>
        <w:right w:val="none" w:sz="0" w:space="0" w:color="auto"/>
      </w:divBdr>
    </w:div>
    <w:div w:id="527766982">
      <w:bodyDiv w:val="1"/>
      <w:marLeft w:val="0"/>
      <w:marRight w:val="0"/>
      <w:marTop w:val="0"/>
      <w:marBottom w:val="0"/>
      <w:divBdr>
        <w:top w:val="none" w:sz="0" w:space="0" w:color="auto"/>
        <w:left w:val="none" w:sz="0" w:space="0" w:color="auto"/>
        <w:bottom w:val="none" w:sz="0" w:space="0" w:color="auto"/>
        <w:right w:val="none" w:sz="0" w:space="0" w:color="auto"/>
      </w:divBdr>
    </w:div>
    <w:div w:id="536088937">
      <w:bodyDiv w:val="1"/>
      <w:marLeft w:val="0"/>
      <w:marRight w:val="0"/>
      <w:marTop w:val="0"/>
      <w:marBottom w:val="0"/>
      <w:divBdr>
        <w:top w:val="none" w:sz="0" w:space="0" w:color="auto"/>
        <w:left w:val="none" w:sz="0" w:space="0" w:color="auto"/>
        <w:bottom w:val="none" w:sz="0" w:space="0" w:color="auto"/>
        <w:right w:val="none" w:sz="0" w:space="0" w:color="auto"/>
      </w:divBdr>
    </w:div>
    <w:div w:id="589431398">
      <w:bodyDiv w:val="1"/>
      <w:marLeft w:val="0"/>
      <w:marRight w:val="0"/>
      <w:marTop w:val="0"/>
      <w:marBottom w:val="0"/>
      <w:divBdr>
        <w:top w:val="none" w:sz="0" w:space="0" w:color="auto"/>
        <w:left w:val="none" w:sz="0" w:space="0" w:color="auto"/>
        <w:bottom w:val="none" w:sz="0" w:space="0" w:color="auto"/>
        <w:right w:val="none" w:sz="0" w:space="0" w:color="auto"/>
      </w:divBdr>
    </w:div>
    <w:div w:id="639766233">
      <w:bodyDiv w:val="1"/>
      <w:marLeft w:val="0"/>
      <w:marRight w:val="0"/>
      <w:marTop w:val="0"/>
      <w:marBottom w:val="0"/>
      <w:divBdr>
        <w:top w:val="none" w:sz="0" w:space="0" w:color="auto"/>
        <w:left w:val="none" w:sz="0" w:space="0" w:color="auto"/>
        <w:bottom w:val="none" w:sz="0" w:space="0" w:color="auto"/>
        <w:right w:val="none" w:sz="0" w:space="0" w:color="auto"/>
      </w:divBdr>
    </w:div>
    <w:div w:id="680084827">
      <w:bodyDiv w:val="1"/>
      <w:marLeft w:val="0"/>
      <w:marRight w:val="0"/>
      <w:marTop w:val="0"/>
      <w:marBottom w:val="0"/>
      <w:divBdr>
        <w:top w:val="none" w:sz="0" w:space="0" w:color="auto"/>
        <w:left w:val="none" w:sz="0" w:space="0" w:color="auto"/>
        <w:bottom w:val="none" w:sz="0" w:space="0" w:color="auto"/>
        <w:right w:val="none" w:sz="0" w:space="0" w:color="auto"/>
      </w:divBdr>
    </w:div>
    <w:div w:id="728918773">
      <w:bodyDiv w:val="1"/>
      <w:marLeft w:val="0"/>
      <w:marRight w:val="0"/>
      <w:marTop w:val="0"/>
      <w:marBottom w:val="0"/>
      <w:divBdr>
        <w:top w:val="none" w:sz="0" w:space="0" w:color="auto"/>
        <w:left w:val="none" w:sz="0" w:space="0" w:color="auto"/>
        <w:bottom w:val="none" w:sz="0" w:space="0" w:color="auto"/>
        <w:right w:val="none" w:sz="0" w:space="0" w:color="auto"/>
      </w:divBdr>
    </w:div>
    <w:div w:id="813252234">
      <w:bodyDiv w:val="1"/>
      <w:marLeft w:val="0"/>
      <w:marRight w:val="0"/>
      <w:marTop w:val="0"/>
      <w:marBottom w:val="0"/>
      <w:divBdr>
        <w:top w:val="none" w:sz="0" w:space="0" w:color="auto"/>
        <w:left w:val="none" w:sz="0" w:space="0" w:color="auto"/>
        <w:bottom w:val="none" w:sz="0" w:space="0" w:color="auto"/>
        <w:right w:val="none" w:sz="0" w:space="0" w:color="auto"/>
      </w:divBdr>
    </w:div>
    <w:div w:id="861356129">
      <w:bodyDiv w:val="1"/>
      <w:marLeft w:val="0"/>
      <w:marRight w:val="0"/>
      <w:marTop w:val="0"/>
      <w:marBottom w:val="0"/>
      <w:divBdr>
        <w:top w:val="none" w:sz="0" w:space="0" w:color="auto"/>
        <w:left w:val="none" w:sz="0" w:space="0" w:color="auto"/>
        <w:bottom w:val="none" w:sz="0" w:space="0" w:color="auto"/>
        <w:right w:val="none" w:sz="0" w:space="0" w:color="auto"/>
      </w:divBdr>
    </w:div>
    <w:div w:id="873927904">
      <w:bodyDiv w:val="1"/>
      <w:marLeft w:val="0"/>
      <w:marRight w:val="0"/>
      <w:marTop w:val="0"/>
      <w:marBottom w:val="0"/>
      <w:divBdr>
        <w:top w:val="none" w:sz="0" w:space="0" w:color="auto"/>
        <w:left w:val="none" w:sz="0" w:space="0" w:color="auto"/>
        <w:bottom w:val="none" w:sz="0" w:space="0" w:color="auto"/>
        <w:right w:val="none" w:sz="0" w:space="0" w:color="auto"/>
      </w:divBdr>
    </w:div>
    <w:div w:id="882593518">
      <w:bodyDiv w:val="1"/>
      <w:marLeft w:val="0"/>
      <w:marRight w:val="0"/>
      <w:marTop w:val="0"/>
      <w:marBottom w:val="0"/>
      <w:divBdr>
        <w:top w:val="none" w:sz="0" w:space="0" w:color="auto"/>
        <w:left w:val="none" w:sz="0" w:space="0" w:color="auto"/>
        <w:bottom w:val="none" w:sz="0" w:space="0" w:color="auto"/>
        <w:right w:val="none" w:sz="0" w:space="0" w:color="auto"/>
      </w:divBdr>
    </w:div>
    <w:div w:id="896284254">
      <w:bodyDiv w:val="1"/>
      <w:marLeft w:val="0"/>
      <w:marRight w:val="0"/>
      <w:marTop w:val="0"/>
      <w:marBottom w:val="0"/>
      <w:divBdr>
        <w:top w:val="none" w:sz="0" w:space="0" w:color="auto"/>
        <w:left w:val="none" w:sz="0" w:space="0" w:color="auto"/>
        <w:bottom w:val="none" w:sz="0" w:space="0" w:color="auto"/>
        <w:right w:val="none" w:sz="0" w:space="0" w:color="auto"/>
      </w:divBdr>
    </w:div>
    <w:div w:id="1040395486">
      <w:bodyDiv w:val="1"/>
      <w:marLeft w:val="0"/>
      <w:marRight w:val="0"/>
      <w:marTop w:val="0"/>
      <w:marBottom w:val="0"/>
      <w:divBdr>
        <w:top w:val="none" w:sz="0" w:space="0" w:color="auto"/>
        <w:left w:val="none" w:sz="0" w:space="0" w:color="auto"/>
        <w:bottom w:val="none" w:sz="0" w:space="0" w:color="auto"/>
        <w:right w:val="none" w:sz="0" w:space="0" w:color="auto"/>
      </w:divBdr>
    </w:div>
    <w:div w:id="1060639867">
      <w:bodyDiv w:val="1"/>
      <w:marLeft w:val="0"/>
      <w:marRight w:val="0"/>
      <w:marTop w:val="0"/>
      <w:marBottom w:val="0"/>
      <w:divBdr>
        <w:top w:val="none" w:sz="0" w:space="0" w:color="auto"/>
        <w:left w:val="none" w:sz="0" w:space="0" w:color="auto"/>
        <w:bottom w:val="none" w:sz="0" w:space="0" w:color="auto"/>
        <w:right w:val="none" w:sz="0" w:space="0" w:color="auto"/>
      </w:divBdr>
      <w:divsChild>
        <w:div w:id="865217399">
          <w:marLeft w:val="0"/>
          <w:marRight w:val="0"/>
          <w:marTop w:val="0"/>
          <w:marBottom w:val="0"/>
          <w:divBdr>
            <w:top w:val="none" w:sz="0" w:space="0" w:color="auto"/>
            <w:left w:val="none" w:sz="0" w:space="0" w:color="auto"/>
            <w:bottom w:val="none" w:sz="0" w:space="0" w:color="auto"/>
            <w:right w:val="none" w:sz="0" w:space="0" w:color="auto"/>
          </w:divBdr>
        </w:div>
      </w:divsChild>
    </w:div>
    <w:div w:id="1096093656">
      <w:bodyDiv w:val="1"/>
      <w:marLeft w:val="0"/>
      <w:marRight w:val="0"/>
      <w:marTop w:val="0"/>
      <w:marBottom w:val="0"/>
      <w:divBdr>
        <w:top w:val="none" w:sz="0" w:space="0" w:color="auto"/>
        <w:left w:val="none" w:sz="0" w:space="0" w:color="auto"/>
        <w:bottom w:val="none" w:sz="0" w:space="0" w:color="auto"/>
        <w:right w:val="none" w:sz="0" w:space="0" w:color="auto"/>
      </w:divBdr>
    </w:div>
    <w:div w:id="1142163559">
      <w:bodyDiv w:val="1"/>
      <w:marLeft w:val="0"/>
      <w:marRight w:val="0"/>
      <w:marTop w:val="0"/>
      <w:marBottom w:val="0"/>
      <w:divBdr>
        <w:top w:val="none" w:sz="0" w:space="0" w:color="auto"/>
        <w:left w:val="none" w:sz="0" w:space="0" w:color="auto"/>
        <w:bottom w:val="none" w:sz="0" w:space="0" w:color="auto"/>
        <w:right w:val="none" w:sz="0" w:space="0" w:color="auto"/>
      </w:divBdr>
    </w:div>
    <w:div w:id="1253199124">
      <w:bodyDiv w:val="1"/>
      <w:marLeft w:val="0"/>
      <w:marRight w:val="0"/>
      <w:marTop w:val="0"/>
      <w:marBottom w:val="0"/>
      <w:divBdr>
        <w:top w:val="none" w:sz="0" w:space="0" w:color="auto"/>
        <w:left w:val="none" w:sz="0" w:space="0" w:color="auto"/>
        <w:bottom w:val="none" w:sz="0" w:space="0" w:color="auto"/>
        <w:right w:val="none" w:sz="0" w:space="0" w:color="auto"/>
      </w:divBdr>
    </w:div>
    <w:div w:id="1395929246">
      <w:bodyDiv w:val="1"/>
      <w:marLeft w:val="0"/>
      <w:marRight w:val="0"/>
      <w:marTop w:val="0"/>
      <w:marBottom w:val="0"/>
      <w:divBdr>
        <w:top w:val="none" w:sz="0" w:space="0" w:color="auto"/>
        <w:left w:val="none" w:sz="0" w:space="0" w:color="auto"/>
        <w:bottom w:val="none" w:sz="0" w:space="0" w:color="auto"/>
        <w:right w:val="none" w:sz="0" w:space="0" w:color="auto"/>
      </w:divBdr>
      <w:divsChild>
        <w:div w:id="505557689">
          <w:marLeft w:val="0"/>
          <w:marRight w:val="0"/>
          <w:marTop w:val="0"/>
          <w:marBottom w:val="0"/>
          <w:divBdr>
            <w:top w:val="none" w:sz="0" w:space="0" w:color="auto"/>
            <w:left w:val="none" w:sz="0" w:space="0" w:color="auto"/>
            <w:bottom w:val="none" w:sz="0" w:space="0" w:color="auto"/>
            <w:right w:val="none" w:sz="0" w:space="0" w:color="auto"/>
          </w:divBdr>
        </w:div>
        <w:div w:id="28997249">
          <w:marLeft w:val="0"/>
          <w:marRight w:val="0"/>
          <w:marTop w:val="0"/>
          <w:marBottom w:val="0"/>
          <w:divBdr>
            <w:top w:val="none" w:sz="0" w:space="0" w:color="auto"/>
            <w:left w:val="none" w:sz="0" w:space="0" w:color="auto"/>
            <w:bottom w:val="none" w:sz="0" w:space="0" w:color="auto"/>
            <w:right w:val="none" w:sz="0" w:space="0" w:color="auto"/>
          </w:divBdr>
        </w:div>
        <w:div w:id="1573928147">
          <w:marLeft w:val="0"/>
          <w:marRight w:val="0"/>
          <w:marTop w:val="0"/>
          <w:marBottom w:val="0"/>
          <w:divBdr>
            <w:top w:val="none" w:sz="0" w:space="0" w:color="auto"/>
            <w:left w:val="none" w:sz="0" w:space="0" w:color="auto"/>
            <w:bottom w:val="none" w:sz="0" w:space="0" w:color="auto"/>
            <w:right w:val="none" w:sz="0" w:space="0" w:color="auto"/>
          </w:divBdr>
        </w:div>
        <w:div w:id="1916890018">
          <w:marLeft w:val="0"/>
          <w:marRight w:val="0"/>
          <w:marTop w:val="0"/>
          <w:marBottom w:val="0"/>
          <w:divBdr>
            <w:top w:val="none" w:sz="0" w:space="0" w:color="auto"/>
            <w:left w:val="none" w:sz="0" w:space="0" w:color="auto"/>
            <w:bottom w:val="none" w:sz="0" w:space="0" w:color="auto"/>
            <w:right w:val="none" w:sz="0" w:space="0" w:color="auto"/>
          </w:divBdr>
        </w:div>
        <w:div w:id="1330400648">
          <w:marLeft w:val="0"/>
          <w:marRight w:val="0"/>
          <w:marTop w:val="0"/>
          <w:marBottom w:val="0"/>
          <w:divBdr>
            <w:top w:val="none" w:sz="0" w:space="0" w:color="auto"/>
            <w:left w:val="none" w:sz="0" w:space="0" w:color="auto"/>
            <w:bottom w:val="none" w:sz="0" w:space="0" w:color="auto"/>
            <w:right w:val="none" w:sz="0" w:space="0" w:color="auto"/>
          </w:divBdr>
        </w:div>
        <w:div w:id="187645541">
          <w:marLeft w:val="0"/>
          <w:marRight w:val="0"/>
          <w:marTop w:val="0"/>
          <w:marBottom w:val="0"/>
          <w:divBdr>
            <w:top w:val="none" w:sz="0" w:space="0" w:color="auto"/>
            <w:left w:val="none" w:sz="0" w:space="0" w:color="auto"/>
            <w:bottom w:val="none" w:sz="0" w:space="0" w:color="auto"/>
            <w:right w:val="none" w:sz="0" w:space="0" w:color="auto"/>
          </w:divBdr>
        </w:div>
        <w:div w:id="1210529305">
          <w:marLeft w:val="0"/>
          <w:marRight w:val="0"/>
          <w:marTop w:val="0"/>
          <w:marBottom w:val="0"/>
          <w:divBdr>
            <w:top w:val="none" w:sz="0" w:space="0" w:color="auto"/>
            <w:left w:val="none" w:sz="0" w:space="0" w:color="auto"/>
            <w:bottom w:val="none" w:sz="0" w:space="0" w:color="auto"/>
            <w:right w:val="none" w:sz="0" w:space="0" w:color="auto"/>
          </w:divBdr>
        </w:div>
        <w:div w:id="2099013803">
          <w:marLeft w:val="0"/>
          <w:marRight w:val="0"/>
          <w:marTop w:val="0"/>
          <w:marBottom w:val="0"/>
          <w:divBdr>
            <w:top w:val="none" w:sz="0" w:space="0" w:color="auto"/>
            <w:left w:val="none" w:sz="0" w:space="0" w:color="auto"/>
            <w:bottom w:val="none" w:sz="0" w:space="0" w:color="auto"/>
            <w:right w:val="none" w:sz="0" w:space="0" w:color="auto"/>
          </w:divBdr>
        </w:div>
        <w:div w:id="407307924">
          <w:marLeft w:val="0"/>
          <w:marRight w:val="0"/>
          <w:marTop w:val="0"/>
          <w:marBottom w:val="0"/>
          <w:divBdr>
            <w:top w:val="none" w:sz="0" w:space="0" w:color="auto"/>
            <w:left w:val="none" w:sz="0" w:space="0" w:color="auto"/>
            <w:bottom w:val="none" w:sz="0" w:space="0" w:color="auto"/>
            <w:right w:val="none" w:sz="0" w:space="0" w:color="auto"/>
          </w:divBdr>
        </w:div>
        <w:div w:id="1415665509">
          <w:marLeft w:val="0"/>
          <w:marRight w:val="0"/>
          <w:marTop w:val="0"/>
          <w:marBottom w:val="0"/>
          <w:divBdr>
            <w:top w:val="none" w:sz="0" w:space="0" w:color="auto"/>
            <w:left w:val="none" w:sz="0" w:space="0" w:color="auto"/>
            <w:bottom w:val="none" w:sz="0" w:space="0" w:color="auto"/>
            <w:right w:val="none" w:sz="0" w:space="0" w:color="auto"/>
          </w:divBdr>
        </w:div>
        <w:div w:id="1725790761">
          <w:marLeft w:val="0"/>
          <w:marRight w:val="0"/>
          <w:marTop w:val="0"/>
          <w:marBottom w:val="0"/>
          <w:divBdr>
            <w:top w:val="none" w:sz="0" w:space="0" w:color="auto"/>
            <w:left w:val="none" w:sz="0" w:space="0" w:color="auto"/>
            <w:bottom w:val="none" w:sz="0" w:space="0" w:color="auto"/>
            <w:right w:val="none" w:sz="0" w:space="0" w:color="auto"/>
          </w:divBdr>
        </w:div>
        <w:div w:id="367487162">
          <w:marLeft w:val="0"/>
          <w:marRight w:val="0"/>
          <w:marTop w:val="0"/>
          <w:marBottom w:val="0"/>
          <w:divBdr>
            <w:top w:val="none" w:sz="0" w:space="0" w:color="auto"/>
            <w:left w:val="none" w:sz="0" w:space="0" w:color="auto"/>
            <w:bottom w:val="none" w:sz="0" w:space="0" w:color="auto"/>
            <w:right w:val="none" w:sz="0" w:space="0" w:color="auto"/>
          </w:divBdr>
        </w:div>
        <w:div w:id="1449665794">
          <w:marLeft w:val="0"/>
          <w:marRight w:val="0"/>
          <w:marTop w:val="0"/>
          <w:marBottom w:val="0"/>
          <w:divBdr>
            <w:top w:val="none" w:sz="0" w:space="0" w:color="auto"/>
            <w:left w:val="none" w:sz="0" w:space="0" w:color="auto"/>
            <w:bottom w:val="none" w:sz="0" w:space="0" w:color="auto"/>
            <w:right w:val="none" w:sz="0" w:space="0" w:color="auto"/>
          </w:divBdr>
        </w:div>
        <w:div w:id="1575772304">
          <w:marLeft w:val="0"/>
          <w:marRight w:val="0"/>
          <w:marTop w:val="0"/>
          <w:marBottom w:val="0"/>
          <w:divBdr>
            <w:top w:val="none" w:sz="0" w:space="0" w:color="auto"/>
            <w:left w:val="none" w:sz="0" w:space="0" w:color="auto"/>
            <w:bottom w:val="none" w:sz="0" w:space="0" w:color="auto"/>
            <w:right w:val="none" w:sz="0" w:space="0" w:color="auto"/>
          </w:divBdr>
        </w:div>
        <w:div w:id="236746855">
          <w:marLeft w:val="0"/>
          <w:marRight w:val="0"/>
          <w:marTop w:val="0"/>
          <w:marBottom w:val="0"/>
          <w:divBdr>
            <w:top w:val="none" w:sz="0" w:space="0" w:color="auto"/>
            <w:left w:val="none" w:sz="0" w:space="0" w:color="auto"/>
            <w:bottom w:val="none" w:sz="0" w:space="0" w:color="auto"/>
            <w:right w:val="none" w:sz="0" w:space="0" w:color="auto"/>
          </w:divBdr>
        </w:div>
        <w:div w:id="790317833">
          <w:marLeft w:val="0"/>
          <w:marRight w:val="0"/>
          <w:marTop w:val="0"/>
          <w:marBottom w:val="0"/>
          <w:divBdr>
            <w:top w:val="none" w:sz="0" w:space="0" w:color="auto"/>
            <w:left w:val="none" w:sz="0" w:space="0" w:color="auto"/>
            <w:bottom w:val="none" w:sz="0" w:space="0" w:color="auto"/>
            <w:right w:val="none" w:sz="0" w:space="0" w:color="auto"/>
          </w:divBdr>
        </w:div>
        <w:div w:id="616640744">
          <w:marLeft w:val="0"/>
          <w:marRight w:val="0"/>
          <w:marTop w:val="0"/>
          <w:marBottom w:val="0"/>
          <w:divBdr>
            <w:top w:val="none" w:sz="0" w:space="0" w:color="auto"/>
            <w:left w:val="none" w:sz="0" w:space="0" w:color="auto"/>
            <w:bottom w:val="none" w:sz="0" w:space="0" w:color="auto"/>
            <w:right w:val="none" w:sz="0" w:space="0" w:color="auto"/>
          </w:divBdr>
        </w:div>
        <w:div w:id="1328512691">
          <w:marLeft w:val="0"/>
          <w:marRight w:val="0"/>
          <w:marTop w:val="0"/>
          <w:marBottom w:val="0"/>
          <w:divBdr>
            <w:top w:val="none" w:sz="0" w:space="0" w:color="auto"/>
            <w:left w:val="none" w:sz="0" w:space="0" w:color="auto"/>
            <w:bottom w:val="none" w:sz="0" w:space="0" w:color="auto"/>
            <w:right w:val="none" w:sz="0" w:space="0" w:color="auto"/>
          </w:divBdr>
        </w:div>
        <w:div w:id="1121605435">
          <w:marLeft w:val="0"/>
          <w:marRight w:val="0"/>
          <w:marTop w:val="0"/>
          <w:marBottom w:val="0"/>
          <w:divBdr>
            <w:top w:val="none" w:sz="0" w:space="0" w:color="auto"/>
            <w:left w:val="none" w:sz="0" w:space="0" w:color="auto"/>
            <w:bottom w:val="none" w:sz="0" w:space="0" w:color="auto"/>
            <w:right w:val="none" w:sz="0" w:space="0" w:color="auto"/>
          </w:divBdr>
        </w:div>
        <w:div w:id="541595853">
          <w:marLeft w:val="0"/>
          <w:marRight w:val="0"/>
          <w:marTop w:val="0"/>
          <w:marBottom w:val="0"/>
          <w:divBdr>
            <w:top w:val="none" w:sz="0" w:space="0" w:color="auto"/>
            <w:left w:val="none" w:sz="0" w:space="0" w:color="auto"/>
            <w:bottom w:val="none" w:sz="0" w:space="0" w:color="auto"/>
            <w:right w:val="none" w:sz="0" w:space="0" w:color="auto"/>
          </w:divBdr>
        </w:div>
        <w:div w:id="1933317155">
          <w:marLeft w:val="0"/>
          <w:marRight w:val="0"/>
          <w:marTop w:val="0"/>
          <w:marBottom w:val="0"/>
          <w:divBdr>
            <w:top w:val="none" w:sz="0" w:space="0" w:color="auto"/>
            <w:left w:val="none" w:sz="0" w:space="0" w:color="auto"/>
            <w:bottom w:val="none" w:sz="0" w:space="0" w:color="auto"/>
            <w:right w:val="none" w:sz="0" w:space="0" w:color="auto"/>
          </w:divBdr>
        </w:div>
        <w:div w:id="96680149">
          <w:marLeft w:val="0"/>
          <w:marRight w:val="0"/>
          <w:marTop w:val="0"/>
          <w:marBottom w:val="0"/>
          <w:divBdr>
            <w:top w:val="none" w:sz="0" w:space="0" w:color="auto"/>
            <w:left w:val="none" w:sz="0" w:space="0" w:color="auto"/>
            <w:bottom w:val="none" w:sz="0" w:space="0" w:color="auto"/>
            <w:right w:val="none" w:sz="0" w:space="0" w:color="auto"/>
          </w:divBdr>
        </w:div>
        <w:div w:id="1234706336">
          <w:marLeft w:val="0"/>
          <w:marRight w:val="0"/>
          <w:marTop w:val="0"/>
          <w:marBottom w:val="0"/>
          <w:divBdr>
            <w:top w:val="none" w:sz="0" w:space="0" w:color="auto"/>
            <w:left w:val="none" w:sz="0" w:space="0" w:color="auto"/>
            <w:bottom w:val="none" w:sz="0" w:space="0" w:color="auto"/>
            <w:right w:val="none" w:sz="0" w:space="0" w:color="auto"/>
          </w:divBdr>
        </w:div>
        <w:div w:id="1341853340">
          <w:marLeft w:val="0"/>
          <w:marRight w:val="0"/>
          <w:marTop w:val="0"/>
          <w:marBottom w:val="0"/>
          <w:divBdr>
            <w:top w:val="none" w:sz="0" w:space="0" w:color="auto"/>
            <w:left w:val="none" w:sz="0" w:space="0" w:color="auto"/>
            <w:bottom w:val="none" w:sz="0" w:space="0" w:color="auto"/>
            <w:right w:val="none" w:sz="0" w:space="0" w:color="auto"/>
          </w:divBdr>
        </w:div>
        <w:div w:id="1903902711">
          <w:marLeft w:val="0"/>
          <w:marRight w:val="0"/>
          <w:marTop w:val="0"/>
          <w:marBottom w:val="0"/>
          <w:divBdr>
            <w:top w:val="none" w:sz="0" w:space="0" w:color="auto"/>
            <w:left w:val="none" w:sz="0" w:space="0" w:color="auto"/>
            <w:bottom w:val="none" w:sz="0" w:space="0" w:color="auto"/>
            <w:right w:val="none" w:sz="0" w:space="0" w:color="auto"/>
          </w:divBdr>
        </w:div>
        <w:div w:id="2095737582">
          <w:marLeft w:val="0"/>
          <w:marRight w:val="0"/>
          <w:marTop w:val="0"/>
          <w:marBottom w:val="0"/>
          <w:divBdr>
            <w:top w:val="none" w:sz="0" w:space="0" w:color="auto"/>
            <w:left w:val="none" w:sz="0" w:space="0" w:color="auto"/>
            <w:bottom w:val="none" w:sz="0" w:space="0" w:color="auto"/>
            <w:right w:val="none" w:sz="0" w:space="0" w:color="auto"/>
          </w:divBdr>
        </w:div>
      </w:divsChild>
    </w:div>
    <w:div w:id="1630864515">
      <w:bodyDiv w:val="1"/>
      <w:marLeft w:val="0"/>
      <w:marRight w:val="0"/>
      <w:marTop w:val="0"/>
      <w:marBottom w:val="0"/>
      <w:divBdr>
        <w:top w:val="none" w:sz="0" w:space="0" w:color="auto"/>
        <w:left w:val="none" w:sz="0" w:space="0" w:color="auto"/>
        <w:bottom w:val="none" w:sz="0" w:space="0" w:color="auto"/>
        <w:right w:val="none" w:sz="0" w:space="0" w:color="auto"/>
      </w:divBdr>
    </w:div>
    <w:div w:id="1760368842">
      <w:bodyDiv w:val="1"/>
      <w:marLeft w:val="0"/>
      <w:marRight w:val="0"/>
      <w:marTop w:val="0"/>
      <w:marBottom w:val="0"/>
      <w:divBdr>
        <w:top w:val="none" w:sz="0" w:space="0" w:color="auto"/>
        <w:left w:val="none" w:sz="0" w:space="0" w:color="auto"/>
        <w:bottom w:val="none" w:sz="0" w:space="0" w:color="auto"/>
        <w:right w:val="none" w:sz="0" w:space="0" w:color="auto"/>
      </w:divBdr>
    </w:div>
    <w:div w:id="1802650379">
      <w:bodyDiv w:val="1"/>
      <w:marLeft w:val="0"/>
      <w:marRight w:val="0"/>
      <w:marTop w:val="0"/>
      <w:marBottom w:val="0"/>
      <w:divBdr>
        <w:top w:val="none" w:sz="0" w:space="0" w:color="auto"/>
        <w:left w:val="none" w:sz="0" w:space="0" w:color="auto"/>
        <w:bottom w:val="none" w:sz="0" w:space="0" w:color="auto"/>
        <w:right w:val="none" w:sz="0" w:space="0" w:color="auto"/>
      </w:divBdr>
    </w:div>
    <w:div w:id="1976325191">
      <w:bodyDiv w:val="1"/>
      <w:marLeft w:val="0"/>
      <w:marRight w:val="0"/>
      <w:marTop w:val="0"/>
      <w:marBottom w:val="0"/>
      <w:divBdr>
        <w:top w:val="none" w:sz="0" w:space="0" w:color="auto"/>
        <w:left w:val="none" w:sz="0" w:space="0" w:color="auto"/>
        <w:bottom w:val="none" w:sz="0" w:space="0" w:color="auto"/>
        <w:right w:val="none" w:sz="0" w:space="0" w:color="auto"/>
      </w:divBdr>
    </w:div>
    <w:div w:id="2046176952">
      <w:bodyDiv w:val="1"/>
      <w:marLeft w:val="0"/>
      <w:marRight w:val="0"/>
      <w:marTop w:val="0"/>
      <w:marBottom w:val="0"/>
      <w:divBdr>
        <w:top w:val="none" w:sz="0" w:space="0" w:color="auto"/>
        <w:left w:val="none" w:sz="0" w:space="0" w:color="auto"/>
        <w:bottom w:val="none" w:sz="0" w:space="0" w:color="auto"/>
        <w:right w:val="none" w:sz="0" w:space="0" w:color="auto"/>
      </w:divBdr>
    </w:div>
    <w:div w:id="2080710114">
      <w:bodyDiv w:val="1"/>
      <w:marLeft w:val="0"/>
      <w:marRight w:val="0"/>
      <w:marTop w:val="0"/>
      <w:marBottom w:val="0"/>
      <w:divBdr>
        <w:top w:val="none" w:sz="0" w:space="0" w:color="auto"/>
        <w:left w:val="none" w:sz="0" w:space="0" w:color="auto"/>
        <w:bottom w:val="none" w:sz="0" w:space="0" w:color="auto"/>
        <w:right w:val="none" w:sz="0" w:space="0" w:color="auto"/>
      </w:divBdr>
    </w:div>
    <w:div w:id="2129157070">
      <w:bodyDiv w:val="1"/>
      <w:marLeft w:val="0"/>
      <w:marRight w:val="0"/>
      <w:marTop w:val="0"/>
      <w:marBottom w:val="0"/>
      <w:divBdr>
        <w:top w:val="none" w:sz="0" w:space="0" w:color="auto"/>
        <w:left w:val="none" w:sz="0" w:space="0" w:color="auto"/>
        <w:bottom w:val="none" w:sz="0" w:space="0" w:color="auto"/>
        <w:right w:val="none" w:sz="0" w:space="0" w:color="auto"/>
      </w:divBdr>
      <w:divsChild>
        <w:div w:id="947809933">
          <w:marLeft w:val="0"/>
          <w:marRight w:val="0"/>
          <w:marTop w:val="0"/>
          <w:marBottom w:val="0"/>
          <w:divBdr>
            <w:top w:val="none" w:sz="0" w:space="0" w:color="auto"/>
            <w:left w:val="none" w:sz="0" w:space="0" w:color="auto"/>
            <w:bottom w:val="none" w:sz="0" w:space="0" w:color="auto"/>
            <w:right w:val="none" w:sz="0" w:space="0" w:color="auto"/>
          </w:divBdr>
        </w:div>
      </w:divsChild>
    </w:div>
    <w:div w:id="2139180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doi.org/10.5539/jsd.v15n2p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ookbinderlaw.co.bw/wp-content/uploads/2019/10/The-Mining-Law-Review.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idlo.int/sites/default/files/pdfs/highlights/Kenya%20Mining%20Policy%20Popular%20Version-LowR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idlo.int/sites/default/files/pdfs/highlights/Kenya%20Mining%20Policy%20Popular%20Version-LowRe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bookbinderlaw.co.bw/wp-content/uploads/2019/10/The-Mining-Law-Review.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D7EFE-2803-4533-96D5-11A7B6762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65</Pages>
  <Words>17172</Words>
  <Characters>97887</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Reagan Awino</dc:creator>
  <cp:lastModifiedBy>Zephaniah Ouma</cp:lastModifiedBy>
  <cp:revision>3</cp:revision>
  <dcterms:created xsi:type="dcterms:W3CDTF">2025-09-23T06:27:00Z</dcterms:created>
  <dcterms:modified xsi:type="dcterms:W3CDTF">2025-09-23T08:50:00Z</dcterms:modified>
</cp:coreProperties>
</file>